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CE" w:rsidRPr="0031199E" w:rsidRDefault="008E71CE" w:rsidP="008E71CE">
      <w:pPr>
        <w:jc w:val="left"/>
        <w:rPr>
          <w:rFonts w:ascii="黑体" w:eastAsia="黑体" w:hAnsi="黑体"/>
          <w:sz w:val="32"/>
          <w:szCs w:val="32"/>
        </w:rPr>
      </w:pPr>
      <w:r w:rsidRPr="0031199E">
        <w:rPr>
          <w:rFonts w:ascii="黑体" w:eastAsia="黑体" w:hAnsi="黑体" w:hint="eastAsia"/>
          <w:sz w:val="32"/>
          <w:szCs w:val="32"/>
        </w:rPr>
        <w:t>附件</w:t>
      </w:r>
      <w:r>
        <w:rPr>
          <w:rFonts w:ascii="黑体" w:eastAsia="黑体" w:hAnsi="黑体" w:hint="eastAsia"/>
          <w:sz w:val="32"/>
          <w:szCs w:val="32"/>
        </w:rPr>
        <w:t>2</w:t>
      </w:r>
    </w:p>
    <w:p w:rsidR="008E71CE" w:rsidRPr="0031199E" w:rsidRDefault="008E71CE" w:rsidP="008E71CE">
      <w:pPr>
        <w:jc w:val="center"/>
        <w:rPr>
          <w:rFonts w:ascii="黑体" w:eastAsia="黑体" w:hAnsi="黑体"/>
          <w:sz w:val="32"/>
          <w:szCs w:val="32"/>
        </w:rPr>
      </w:pPr>
    </w:p>
    <w:p w:rsidR="008E71CE" w:rsidRPr="00CF6316" w:rsidRDefault="008E71CE" w:rsidP="008E71CE">
      <w:pPr>
        <w:spacing w:line="640" w:lineRule="exact"/>
        <w:jc w:val="center"/>
        <w:rPr>
          <w:rFonts w:ascii="方正小标宋简体" w:eastAsia="方正小标宋简体" w:hAnsi="仿宋"/>
          <w:sz w:val="44"/>
          <w:szCs w:val="44"/>
        </w:rPr>
      </w:pPr>
      <w:r w:rsidRPr="00CF6316">
        <w:rPr>
          <w:rFonts w:ascii="方正小标宋简体" w:eastAsia="方正小标宋简体" w:hAnsi="仿宋" w:hint="eastAsia"/>
          <w:sz w:val="44"/>
          <w:szCs w:val="44"/>
        </w:rPr>
        <w:t>药品生产质量管理规范麻醉药品精神药品</w:t>
      </w:r>
    </w:p>
    <w:p w:rsidR="008E71CE" w:rsidRDefault="008E71CE" w:rsidP="008E71CE">
      <w:pPr>
        <w:spacing w:line="640" w:lineRule="exact"/>
        <w:jc w:val="center"/>
        <w:rPr>
          <w:rFonts w:ascii="方正小标宋简体" w:eastAsia="方正小标宋简体" w:hAnsi="仿宋"/>
          <w:sz w:val="44"/>
          <w:szCs w:val="44"/>
        </w:rPr>
      </w:pPr>
      <w:r w:rsidRPr="00CF6316">
        <w:rPr>
          <w:rFonts w:ascii="方正小标宋简体" w:eastAsia="方正小标宋简体" w:hAnsi="仿宋" w:hint="eastAsia"/>
          <w:sz w:val="44"/>
          <w:szCs w:val="44"/>
        </w:rPr>
        <w:t>和药品类易制毒化学品附录</w:t>
      </w:r>
    </w:p>
    <w:p w:rsidR="008E71CE" w:rsidRPr="00CF6316" w:rsidRDefault="008E71CE" w:rsidP="008E71CE">
      <w:pPr>
        <w:spacing w:line="640" w:lineRule="exact"/>
        <w:jc w:val="center"/>
        <w:rPr>
          <w:rFonts w:ascii="方正小标宋简体" w:eastAsia="方正小标宋简体" w:hAnsi="仿宋"/>
          <w:sz w:val="44"/>
          <w:szCs w:val="44"/>
        </w:rPr>
      </w:pPr>
      <w:r w:rsidRPr="0031199E">
        <w:rPr>
          <w:rFonts w:eastAsia="方正小标宋简体" w:cs="宋体" w:hint="eastAsia"/>
          <w:kern w:val="0"/>
          <w:sz w:val="44"/>
          <w:szCs w:val="44"/>
        </w:rPr>
        <w:t>（征求意见稿）</w:t>
      </w:r>
      <w:r w:rsidRPr="00CF6316">
        <w:rPr>
          <w:rFonts w:ascii="方正小标宋简体" w:eastAsia="方正小标宋简体" w:hAnsi="仿宋" w:hint="eastAsia"/>
          <w:sz w:val="44"/>
          <w:szCs w:val="44"/>
        </w:rPr>
        <w:t>起草说明</w:t>
      </w:r>
    </w:p>
    <w:p w:rsidR="008E71CE" w:rsidRPr="0084183F" w:rsidRDefault="008E71CE" w:rsidP="008E71CE">
      <w:pPr>
        <w:spacing w:line="560" w:lineRule="exact"/>
        <w:ind w:firstLineChars="200" w:firstLine="643"/>
        <w:rPr>
          <w:rFonts w:eastAsia="仿宋_GB2312"/>
          <w:b/>
          <w:kern w:val="0"/>
          <w:sz w:val="32"/>
          <w:szCs w:val="32"/>
        </w:rPr>
      </w:pPr>
    </w:p>
    <w:p w:rsidR="008E71CE" w:rsidRPr="00415187" w:rsidRDefault="008E71CE" w:rsidP="008E71CE">
      <w:pPr>
        <w:spacing w:line="560" w:lineRule="exact"/>
        <w:ind w:firstLineChars="200" w:firstLine="640"/>
        <w:rPr>
          <w:rFonts w:ascii="黑体" w:eastAsia="黑体" w:hAnsi="黑体"/>
          <w:sz w:val="30"/>
          <w:szCs w:val="30"/>
        </w:rPr>
      </w:pPr>
      <w:r w:rsidRPr="00415187">
        <w:rPr>
          <w:rFonts w:ascii="黑体" w:eastAsia="黑体" w:hAnsi="黑体"/>
          <w:bCs/>
          <w:sz w:val="32"/>
          <w:szCs w:val="32"/>
        </w:rPr>
        <w:t>一、起草背景</w:t>
      </w:r>
    </w:p>
    <w:p w:rsidR="008E71CE" w:rsidRPr="00415187" w:rsidRDefault="008E71CE" w:rsidP="008E71CE">
      <w:pPr>
        <w:spacing w:line="560" w:lineRule="exact"/>
        <w:ind w:firstLineChars="200" w:firstLine="640"/>
        <w:rPr>
          <w:rFonts w:eastAsia="仿宋_GB2312"/>
          <w:sz w:val="32"/>
          <w:szCs w:val="32"/>
        </w:rPr>
      </w:pPr>
      <w:r w:rsidRPr="00415187">
        <w:rPr>
          <w:rFonts w:eastAsia="仿宋_GB2312"/>
          <w:sz w:val="32"/>
          <w:szCs w:val="32"/>
        </w:rPr>
        <w:t>2005</w:t>
      </w:r>
      <w:r w:rsidRPr="00415187">
        <w:rPr>
          <w:rFonts w:eastAsia="仿宋_GB2312"/>
          <w:sz w:val="32"/>
          <w:szCs w:val="32"/>
        </w:rPr>
        <w:t>年原国家食品药品监督管理局印发了《麻醉药品和精神药品生产管理办法（试行）》（国食药监〔</w:t>
      </w:r>
      <w:r w:rsidRPr="00415187">
        <w:rPr>
          <w:rFonts w:eastAsia="仿宋_GB2312"/>
          <w:sz w:val="32"/>
          <w:szCs w:val="32"/>
        </w:rPr>
        <w:t>2005</w:t>
      </w:r>
      <w:r w:rsidRPr="00415187">
        <w:rPr>
          <w:rFonts w:eastAsia="仿宋_GB2312"/>
          <w:sz w:val="32"/>
          <w:szCs w:val="32"/>
        </w:rPr>
        <w:t>〕</w:t>
      </w:r>
      <w:r w:rsidRPr="00415187">
        <w:rPr>
          <w:rFonts w:eastAsia="仿宋_GB2312"/>
          <w:sz w:val="32"/>
          <w:szCs w:val="32"/>
        </w:rPr>
        <w:t>528</w:t>
      </w:r>
      <w:r w:rsidRPr="00415187">
        <w:rPr>
          <w:rFonts w:eastAsia="仿宋_GB2312"/>
          <w:sz w:val="32"/>
          <w:szCs w:val="32"/>
        </w:rPr>
        <w:t>号），</w:t>
      </w:r>
      <w:r w:rsidRPr="00415187">
        <w:rPr>
          <w:rFonts w:eastAsia="仿宋_GB2312"/>
          <w:sz w:val="32"/>
          <w:szCs w:val="32"/>
        </w:rPr>
        <w:t>2010</w:t>
      </w:r>
      <w:r w:rsidRPr="00415187">
        <w:rPr>
          <w:rFonts w:eastAsia="仿宋_GB2312"/>
          <w:sz w:val="32"/>
          <w:szCs w:val="32"/>
        </w:rPr>
        <w:t>年原卫生部印发了《药品类易制毒化学品管理办法》（卫生部令第</w:t>
      </w:r>
      <w:r w:rsidRPr="00415187">
        <w:rPr>
          <w:rFonts w:eastAsia="仿宋_GB2312"/>
          <w:sz w:val="32"/>
          <w:szCs w:val="32"/>
        </w:rPr>
        <w:t>72</w:t>
      </w:r>
      <w:r w:rsidRPr="00415187">
        <w:rPr>
          <w:rFonts w:eastAsia="仿宋_GB2312"/>
          <w:sz w:val="32"/>
          <w:szCs w:val="32"/>
        </w:rPr>
        <w:t>号），对定点生产审批、生产计划制定等工作进行了规范，同时也明确了特殊管理药品生产、经营活动的安全管理要求。上述文件实施以来，对强化特殊管理药品监管起到了重要作用。</w:t>
      </w:r>
    </w:p>
    <w:p w:rsidR="008E71CE" w:rsidRPr="00415187" w:rsidRDefault="008E71CE" w:rsidP="008E71CE">
      <w:pPr>
        <w:spacing w:line="560" w:lineRule="exact"/>
        <w:ind w:firstLineChars="200" w:firstLine="640"/>
        <w:rPr>
          <w:rFonts w:eastAsia="仿宋_GB2312"/>
          <w:sz w:val="32"/>
          <w:szCs w:val="32"/>
        </w:rPr>
      </w:pPr>
      <w:r w:rsidRPr="00415187">
        <w:rPr>
          <w:rFonts w:eastAsia="仿宋_GB2312"/>
          <w:sz w:val="32"/>
          <w:szCs w:val="32"/>
        </w:rPr>
        <w:t>目前，我国毒品形势十分严峻，党中央、国务院对此高度重视，要求持之以恒地把禁毒工作深入开展下去，特殊管理药品监管作为禁毒工作的重要组成部门，必须提升管理要求，确保安全。为防止特殊管理药品和具有特殊活性的物质从生产环节丢失或流入非法渠道，需要结合实际存在的问题，细化和完善对特殊管理药品供应链安全管理、生产管理和质量控制的要求。</w:t>
      </w:r>
    </w:p>
    <w:p w:rsidR="008E71CE" w:rsidRPr="0084183F" w:rsidRDefault="008E71CE" w:rsidP="008E71CE">
      <w:pPr>
        <w:spacing w:line="560" w:lineRule="exact"/>
        <w:ind w:firstLineChars="200" w:firstLine="640"/>
        <w:rPr>
          <w:rFonts w:eastAsia="仿宋_GB2312"/>
          <w:sz w:val="32"/>
          <w:szCs w:val="32"/>
        </w:rPr>
      </w:pPr>
      <w:r w:rsidRPr="00415187">
        <w:rPr>
          <w:rFonts w:eastAsia="仿宋_GB2312"/>
          <w:sz w:val="32"/>
          <w:szCs w:val="32"/>
        </w:rPr>
        <w:t>为此，根据《药品管理法》及其实施条例、《麻醉药品和精神药品管理条例》《易制毒化学品管理条例》，总局组织制定了《药品生产质量管理规范麻醉药品精神药品和药品类易制毒化学品</w:t>
      </w:r>
      <w:r w:rsidRPr="00415187">
        <w:rPr>
          <w:rFonts w:eastAsia="仿宋_GB2312"/>
          <w:sz w:val="32"/>
          <w:szCs w:val="32"/>
        </w:rPr>
        <w:lastRenderedPageBreak/>
        <w:t>附录》（下称《特殊管理药品</w:t>
      </w:r>
      <w:r w:rsidRPr="00415187">
        <w:rPr>
          <w:rFonts w:eastAsia="仿宋_GB2312"/>
          <w:sz w:val="32"/>
          <w:szCs w:val="32"/>
        </w:rPr>
        <w:t>GMP</w:t>
      </w:r>
      <w:r w:rsidRPr="00415187">
        <w:rPr>
          <w:rFonts w:eastAsia="仿宋_GB2312"/>
          <w:sz w:val="32"/>
          <w:szCs w:val="32"/>
        </w:rPr>
        <w:t>附录》）。</w:t>
      </w:r>
    </w:p>
    <w:p w:rsidR="008E71CE" w:rsidRPr="0084183F" w:rsidRDefault="008E71CE" w:rsidP="008E71CE">
      <w:pPr>
        <w:spacing w:line="560" w:lineRule="exact"/>
        <w:ind w:firstLineChars="200" w:firstLine="640"/>
        <w:rPr>
          <w:rFonts w:ascii="黑体" w:eastAsia="黑体" w:hAnsi="黑体"/>
          <w:bCs/>
          <w:sz w:val="32"/>
          <w:szCs w:val="32"/>
        </w:rPr>
      </w:pPr>
      <w:r w:rsidRPr="00415187">
        <w:rPr>
          <w:rFonts w:ascii="黑体" w:eastAsia="黑体" w:hAnsi="黑体"/>
          <w:bCs/>
          <w:sz w:val="32"/>
          <w:szCs w:val="32"/>
        </w:rPr>
        <w:t>二、起草过程</w:t>
      </w:r>
    </w:p>
    <w:p w:rsidR="008E71CE" w:rsidRPr="0084183F" w:rsidRDefault="008E71CE" w:rsidP="008E71CE">
      <w:pPr>
        <w:spacing w:line="560" w:lineRule="exact"/>
        <w:ind w:firstLineChars="200" w:firstLine="640"/>
        <w:rPr>
          <w:rFonts w:eastAsia="仿宋_GB2312"/>
          <w:sz w:val="32"/>
          <w:szCs w:val="32"/>
        </w:rPr>
      </w:pPr>
      <w:r w:rsidRPr="00415187">
        <w:rPr>
          <w:rFonts w:eastAsia="仿宋_GB2312"/>
          <w:sz w:val="32"/>
          <w:szCs w:val="32"/>
        </w:rPr>
        <w:t>为加快完善监管制度规范体系，药化监管司将制度建设作为</w:t>
      </w:r>
      <w:r w:rsidRPr="00415187">
        <w:rPr>
          <w:rFonts w:eastAsia="仿宋_GB2312"/>
          <w:sz w:val="32"/>
          <w:szCs w:val="32"/>
        </w:rPr>
        <w:t>2017</w:t>
      </w:r>
      <w:r w:rsidRPr="00415187">
        <w:rPr>
          <w:rFonts w:eastAsia="仿宋_GB2312"/>
          <w:sz w:val="32"/>
          <w:szCs w:val="32"/>
        </w:rPr>
        <w:t>年重点工作。</w:t>
      </w:r>
      <w:r w:rsidRPr="00415187">
        <w:rPr>
          <w:rFonts w:eastAsia="仿宋_GB2312"/>
          <w:sz w:val="32"/>
          <w:szCs w:val="32"/>
        </w:rPr>
        <w:t>1</w:t>
      </w:r>
      <w:r w:rsidRPr="00415187">
        <w:rPr>
          <w:rFonts w:eastAsia="仿宋_GB2312"/>
          <w:sz w:val="32"/>
          <w:szCs w:val="32"/>
        </w:rPr>
        <w:t>月，启动了《特殊管理药品</w:t>
      </w:r>
      <w:r w:rsidRPr="00415187">
        <w:rPr>
          <w:rFonts w:eastAsia="仿宋_GB2312"/>
          <w:sz w:val="32"/>
          <w:szCs w:val="32"/>
        </w:rPr>
        <w:t>GMP</w:t>
      </w:r>
      <w:r w:rsidRPr="00415187">
        <w:rPr>
          <w:rFonts w:eastAsia="仿宋_GB2312"/>
          <w:sz w:val="32"/>
          <w:szCs w:val="32"/>
        </w:rPr>
        <w:t>附录》制定工作，委托中国麻醉药品协会组织部分特殊管理药品生产企业草拟了一个建议稿。围绕此稿，药化监管司组织企业代表和检查员研讨，分析企业生产管理现状和存在的问题，以问题为导向提出需要规范和加强监管的关键点，确定了</w:t>
      </w:r>
      <w:r w:rsidRPr="00415187">
        <w:rPr>
          <w:rFonts w:eastAsia="仿宋_GB2312"/>
          <w:sz w:val="32"/>
          <w:szCs w:val="32"/>
        </w:rPr>
        <w:t>“</w:t>
      </w:r>
      <w:r w:rsidRPr="00415187">
        <w:rPr>
          <w:rFonts w:eastAsia="仿宋_GB2312"/>
          <w:sz w:val="32"/>
          <w:szCs w:val="32"/>
        </w:rPr>
        <w:t>规范、提高</w:t>
      </w:r>
      <w:r w:rsidRPr="00415187">
        <w:rPr>
          <w:rFonts w:eastAsia="仿宋_GB2312"/>
          <w:sz w:val="32"/>
          <w:szCs w:val="32"/>
        </w:rPr>
        <w:t>”</w:t>
      </w:r>
      <w:r w:rsidRPr="00415187">
        <w:rPr>
          <w:rFonts w:eastAsia="仿宋_GB2312"/>
          <w:sz w:val="32"/>
          <w:szCs w:val="32"/>
        </w:rPr>
        <w:t>的起草原则。</w:t>
      </w:r>
      <w:r w:rsidRPr="00415187">
        <w:rPr>
          <w:rFonts w:eastAsia="仿宋_GB2312"/>
          <w:sz w:val="32"/>
          <w:szCs w:val="32"/>
        </w:rPr>
        <w:t>“</w:t>
      </w:r>
      <w:r w:rsidRPr="00415187">
        <w:rPr>
          <w:rFonts w:eastAsia="仿宋_GB2312"/>
          <w:sz w:val="32"/>
          <w:szCs w:val="32"/>
        </w:rPr>
        <w:t>规范</w:t>
      </w:r>
      <w:r w:rsidRPr="00415187">
        <w:rPr>
          <w:rFonts w:eastAsia="仿宋_GB2312"/>
          <w:sz w:val="32"/>
          <w:szCs w:val="32"/>
        </w:rPr>
        <w:t>”</w:t>
      </w:r>
      <w:r w:rsidRPr="00415187">
        <w:rPr>
          <w:rFonts w:eastAsia="仿宋_GB2312"/>
          <w:sz w:val="32"/>
          <w:szCs w:val="32"/>
        </w:rPr>
        <w:t>就是对现有分散的管理要求一一梳理，归纳整合，加以明确；</w:t>
      </w:r>
      <w:r w:rsidRPr="00415187">
        <w:rPr>
          <w:rFonts w:eastAsia="仿宋_GB2312"/>
          <w:sz w:val="32"/>
          <w:szCs w:val="32"/>
        </w:rPr>
        <w:t>“</w:t>
      </w:r>
      <w:r w:rsidRPr="00415187">
        <w:rPr>
          <w:rFonts w:eastAsia="仿宋_GB2312"/>
          <w:sz w:val="32"/>
          <w:szCs w:val="32"/>
        </w:rPr>
        <w:t>提高</w:t>
      </w:r>
      <w:r w:rsidRPr="00415187">
        <w:rPr>
          <w:rFonts w:eastAsia="仿宋_GB2312"/>
          <w:sz w:val="32"/>
          <w:szCs w:val="32"/>
        </w:rPr>
        <w:t>”</w:t>
      </w:r>
      <w:r w:rsidRPr="00415187">
        <w:rPr>
          <w:rFonts w:eastAsia="仿宋_GB2312"/>
          <w:sz w:val="32"/>
          <w:szCs w:val="32"/>
        </w:rPr>
        <w:t>就是结合行业发展实际，提高企业安全管理和质量保证要求。</w:t>
      </w:r>
      <w:r w:rsidRPr="00415187">
        <w:rPr>
          <w:rFonts w:eastAsia="仿宋_GB2312"/>
          <w:sz w:val="32"/>
          <w:szCs w:val="32"/>
        </w:rPr>
        <w:t>3</w:t>
      </w:r>
      <w:r w:rsidRPr="00415187">
        <w:rPr>
          <w:rFonts w:eastAsia="仿宋_GB2312"/>
          <w:sz w:val="32"/>
          <w:szCs w:val="32"/>
        </w:rPr>
        <w:t>月，药化监管司召集部分省局特药监管人员、药品</w:t>
      </w:r>
      <w:r w:rsidRPr="00415187">
        <w:rPr>
          <w:rFonts w:eastAsia="仿宋_GB2312"/>
          <w:sz w:val="32"/>
          <w:szCs w:val="32"/>
        </w:rPr>
        <w:t>GMP</w:t>
      </w:r>
      <w:r w:rsidRPr="00415187">
        <w:rPr>
          <w:rFonts w:eastAsia="仿宋_GB2312"/>
          <w:sz w:val="32"/>
          <w:szCs w:val="32"/>
        </w:rPr>
        <w:t>检查员、企业和麻协会议，成立起草工作小组，研究商定了附录框架内容，明确了工作要求，并将《特殊管理药品</w:t>
      </w:r>
      <w:r w:rsidRPr="00415187">
        <w:rPr>
          <w:rFonts w:eastAsia="仿宋_GB2312"/>
          <w:sz w:val="32"/>
          <w:szCs w:val="32"/>
        </w:rPr>
        <w:t>GMP</w:t>
      </w:r>
      <w:r w:rsidRPr="00415187">
        <w:rPr>
          <w:rFonts w:eastAsia="仿宋_GB2312"/>
          <w:sz w:val="32"/>
          <w:szCs w:val="32"/>
        </w:rPr>
        <w:t>附录》起草工作委托核查中心组织</w:t>
      </w:r>
      <w:r w:rsidRPr="0084183F">
        <w:rPr>
          <w:rFonts w:eastAsia="仿宋_GB2312"/>
          <w:sz w:val="32"/>
          <w:szCs w:val="32"/>
        </w:rPr>
        <w:t>。</w:t>
      </w:r>
      <w:r w:rsidRPr="00415187">
        <w:rPr>
          <w:rFonts w:eastAsia="仿宋_GB2312"/>
          <w:sz w:val="32"/>
          <w:szCs w:val="32"/>
        </w:rPr>
        <w:t>4</w:t>
      </w:r>
      <w:r w:rsidRPr="00415187">
        <w:rPr>
          <w:rFonts w:eastAsia="仿宋_GB2312"/>
          <w:sz w:val="32"/>
          <w:szCs w:val="32"/>
        </w:rPr>
        <w:t>月，核查中心组织起草工作小组按照确定的原则和框架内容，拟定了《特殊管理药品</w:t>
      </w:r>
      <w:r w:rsidRPr="00415187">
        <w:rPr>
          <w:rFonts w:eastAsia="仿宋_GB2312"/>
          <w:sz w:val="32"/>
          <w:szCs w:val="32"/>
        </w:rPr>
        <w:t>GMP</w:t>
      </w:r>
      <w:r w:rsidRPr="00415187">
        <w:rPr>
          <w:rFonts w:eastAsia="仿宋_GB2312"/>
          <w:sz w:val="32"/>
          <w:szCs w:val="32"/>
        </w:rPr>
        <w:t>附录》（草案），并召集会议，听取了监管部门和企业的意见。起草工作小组对反馈意见进行梳理、分析，对附录草案进行了修改完善，经核查中心审定后，于</w:t>
      </w:r>
      <w:r w:rsidRPr="00415187">
        <w:rPr>
          <w:rFonts w:eastAsia="仿宋_GB2312"/>
          <w:sz w:val="32"/>
          <w:szCs w:val="32"/>
        </w:rPr>
        <w:t>5</w:t>
      </w:r>
      <w:r w:rsidRPr="00415187">
        <w:rPr>
          <w:rFonts w:eastAsia="仿宋_GB2312"/>
          <w:sz w:val="32"/>
          <w:szCs w:val="32"/>
        </w:rPr>
        <w:t>月底上报药化监管司。药化监管司对核查中心上报的附录草案进行了审核，修订了部分内容，对文字表述加以规范，形成了《特殊管理药品</w:t>
      </w:r>
      <w:r w:rsidRPr="00415187">
        <w:rPr>
          <w:rFonts w:eastAsia="仿宋_GB2312"/>
          <w:sz w:val="32"/>
          <w:szCs w:val="32"/>
        </w:rPr>
        <w:t>GMP</w:t>
      </w:r>
      <w:r w:rsidRPr="00415187">
        <w:rPr>
          <w:rFonts w:eastAsia="仿宋_GB2312"/>
          <w:sz w:val="32"/>
          <w:szCs w:val="32"/>
        </w:rPr>
        <w:t>附录》（征求意见稿）。</w:t>
      </w:r>
      <w:r w:rsidRPr="00415187">
        <w:rPr>
          <w:rFonts w:eastAsia="仿宋_GB2312"/>
          <w:sz w:val="32"/>
          <w:szCs w:val="32"/>
        </w:rPr>
        <w:t>6</w:t>
      </w:r>
      <w:r w:rsidRPr="00415187">
        <w:rPr>
          <w:rFonts w:eastAsia="仿宋_GB2312"/>
          <w:sz w:val="32"/>
          <w:szCs w:val="32"/>
        </w:rPr>
        <w:t>月至</w:t>
      </w:r>
      <w:r w:rsidRPr="00415187">
        <w:rPr>
          <w:rFonts w:eastAsia="仿宋_GB2312"/>
          <w:sz w:val="32"/>
          <w:szCs w:val="32"/>
        </w:rPr>
        <w:t>9</w:t>
      </w:r>
      <w:r w:rsidRPr="00415187">
        <w:rPr>
          <w:rFonts w:eastAsia="仿宋_GB2312"/>
          <w:sz w:val="32"/>
          <w:szCs w:val="32"/>
        </w:rPr>
        <w:t>月，药化监管司参照附录有关要求，对部分企业开展了监管检查。监管部门和企业反馈，《特殊管理药品</w:t>
      </w:r>
      <w:r w:rsidRPr="00415187">
        <w:rPr>
          <w:rFonts w:eastAsia="仿宋_GB2312"/>
          <w:sz w:val="32"/>
          <w:szCs w:val="32"/>
        </w:rPr>
        <w:t>GMP</w:t>
      </w:r>
      <w:r w:rsidRPr="00415187">
        <w:rPr>
          <w:rFonts w:eastAsia="仿宋_GB2312"/>
          <w:sz w:val="32"/>
          <w:szCs w:val="32"/>
        </w:rPr>
        <w:t>附录》（征求意见稿）针对特殊管理药品生产环节特有的质</w:t>
      </w:r>
      <w:r w:rsidRPr="00415187">
        <w:rPr>
          <w:rFonts w:eastAsia="仿宋_GB2312"/>
          <w:sz w:val="32"/>
          <w:szCs w:val="32"/>
        </w:rPr>
        <w:lastRenderedPageBreak/>
        <w:t>量风险和安全风险，系统地提出了管理要求，具有很强的指导性、前瞻性和可操作性，对加强和提升企业管理有重要作用。</w:t>
      </w:r>
    </w:p>
    <w:p w:rsidR="008E71CE" w:rsidRPr="0084183F" w:rsidRDefault="008E71CE" w:rsidP="008E71CE">
      <w:pPr>
        <w:spacing w:line="560" w:lineRule="exact"/>
        <w:ind w:firstLineChars="200" w:firstLine="640"/>
        <w:rPr>
          <w:rFonts w:ascii="黑体" w:eastAsia="黑体" w:hAnsi="黑体"/>
          <w:bCs/>
          <w:sz w:val="32"/>
          <w:szCs w:val="32"/>
        </w:rPr>
      </w:pPr>
      <w:r w:rsidRPr="00415187">
        <w:rPr>
          <w:rFonts w:ascii="黑体" w:eastAsia="黑体" w:hAnsi="黑体"/>
          <w:bCs/>
          <w:sz w:val="32"/>
          <w:szCs w:val="32"/>
        </w:rPr>
        <w:t>三、主要内容</w:t>
      </w:r>
    </w:p>
    <w:p w:rsidR="008E71CE" w:rsidRPr="0084183F" w:rsidRDefault="008E71CE" w:rsidP="008E71CE">
      <w:pPr>
        <w:spacing w:line="560" w:lineRule="exact"/>
        <w:ind w:firstLineChars="200" w:firstLine="640"/>
        <w:rPr>
          <w:rFonts w:eastAsia="仿宋_GB2312"/>
          <w:sz w:val="32"/>
          <w:szCs w:val="32"/>
        </w:rPr>
      </w:pPr>
      <w:r w:rsidRPr="00415187">
        <w:rPr>
          <w:rFonts w:eastAsia="仿宋_GB2312"/>
          <w:sz w:val="32"/>
          <w:szCs w:val="32"/>
        </w:rPr>
        <w:t>《特殊管理药品</w:t>
      </w:r>
      <w:r w:rsidRPr="00415187">
        <w:rPr>
          <w:rFonts w:eastAsia="仿宋_GB2312"/>
          <w:sz w:val="32"/>
          <w:szCs w:val="32"/>
        </w:rPr>
        <w:t>GMP</w:t>
      </w:r>
      <w:r w:rsidRPr="00415187">
        <w:rPr>
          <w:rFonts w:eastAsia="仿宋_GB2312"/>
          <w:sz w:val="32"/>
          <w:szCs w:val="32"/>
        </w:rPr>
        <w:t>附录》（征求意见稿）共有七章</w:t>
      </w:r>
      <w:r w:rsidRPr="00415187">
        <w:rPr>
          <w:rFonts w:eastAsia="仿宋_GB2312"/>
          <w:sz w:val="32"/>
          <w:szCs w:val="32"/>
        </w:rPr>
        <w:t>39</w:t>
      </w:r>
      <w:r w:rsidRPr="00415187">
        <w:rPr>
          <w:rFonts w:eastAsia="仿宋_GB2312"/>
          <w:sz w:val="32"/>
          <w:szCs w:val="32"/>
        </w:rPr>
        <w:t>条，包括范围、原则、机构与人员、厂房设施与设备、供应链安全管理、生产管理和质量控制、术语。</w:t>
      </w:r>
    </w:p>
    <w:p w:rsidR="008E71CE" w:rsidRPr="00415187" w:rsidRDefault="008E71CE" w:rsidP="008E71CE">
      <w:pPr>
        <w:pStyle w:val="a4"/>
        <w:spacing w:line="560" w:lineRule="exact"/>
        <w:ind w:firstLineChars="200" w:firstLine="640"/>
        <w:jc w:val="both"/>
        <w:rPr>
          <w:rFonts w:ascii="楷体_GB2312" w:eastAsia="楷体_GB2312" w:hAnsi="Times New Roman"/>
          <w:bCs/>
          <w:sz w:val="32"/>
          <w:szCs w:val="32"/>
        </w:rPr>
      </w:pPr>
      <w:r w:rsidRPr="00415187">
        <w:rPr>
          <w:rFonts w:ascii="楷体_GB2312" w:eastAsia="楷体_GB2312" w:hAnsi="Times New Roman"/>
          <w:bCs/>
          <w:sz w:val="32"/>
          <w:szCs w:val="32"/>
        </w:rPr>
        <w:t>（一）明确本附录适用范围和扩展范围。</w:t>
      </w:r>
    </w:p>
    <w:p w:rsidR="008E71CE" w:rsidRPr="00415187" w:rsidRDefault="008E71CE" w:rsidP="008E71CE">
      <w:pPr>
        <w:pStyle w:val="a4"/>
        <w:spacing w:line="560" w:lineRule="exact"/>
        <w:ind w:firstLineChars="200" w:firstLine="640"/>
        <w:jc w:val="both"/>
        <w:rPr>
          <w:rFonts w:ascii="Times New Roman" w:eastAsia="仿宋_GB2312" w:hAnsi="Times New Roman"/>
          <w:sz w:val="32"/>
          <w:szCs w:val="32"/>
        </w:rPr>
      </w:pPr>
      <w:r w:rsidRPr="00415187">
        <w:rPr>
          <w:rFonts w:ascii="Times New Roman" w:eastAsia="仿宋_GB2312" w:hAnsi="Times New Roman"/>
          <w:sz w:val="32"/>
          <w:szCs w:val="32"/>
        </w:rPr>
        <w:t>本附录适用于特殊管理药品的化学合成、植物提取、制剂制备等供应链安全管理、生产管理和质量控制。同时，明确特殊管理药品注册批准前样品试制或批量生产、以特殊管理药品为原料生产普通药品原料药或复方制剂等有供应链安全管理和生产管理与质量控制特殊要求的关键环节，按照本附录执行。</w:t>
      </w:r>
    </w:p>
    <w:p w:rsidR="008E71CE" w:rsidRPr="00415187" w:rsidRDefault="008E71CE" w:rsidP="008E71CE">
      <w:pPr>
        <w:pStyle w:val="a4"/>
        <w:spacing w:line="560" w:lineRule="exact"/>
        <w:ind w:firstLineChars="200" w:firstLine="640"/>
        <w:jc w:val="both"/>
        <w:rPr>
          <w:rFonts w:ascii="楷体_GB2312" w:eastAsia="楷体_GB2312" w:hAnsi="Times New Roman"/>
          <w:sz w:val="32"/>
          <w:szCs w:val="32"/>
        </w:rPr>
      </w:pPr>
      <w:r w:rsidRPr="00415187">
        <w:rPr>
          <w:rFonts w:ascii="楷体_GB2312" w:eastAsia="楷体_GB2312" w:hAnsi="Times New Roman" w:hint="eastAsia"/>
          <w:bCs/>
          <w:sz w:val="32"/>
          <w:szCs w:val="32"/>
        </w:rPr>
        <w:t>（二）明确提出特殊管理药品供应链安全管理、生产管理和质量控制</w:t>
      </w:r>
      <w:r w:rsidRPr="00415187">
        <w:rPr>
          <w:rFonts w:ascii="楷体_GB2312" w:eastAsia="楷体_GB2312" w:hAnsi="Times New Roman" w:hint="eastAsia"/>
          <w:sz w:val="32"/>
          <w:szCs w:val="32"/>
        </w:rPr>
        <w:t>特殊要求。</w:t>
      </w:r>
    </w:p>
    <w:p w:rsidR="008E71CE" w:rsidRPr="00415187" w:rsidRDefault="008E71CE" w:rsidP="008E71CE">
      <w:pPr>
        <w:pStyle w:val="a4"/>
        <w:spacing w:line="560" w:lineRule="exact"/>
        <w:ind w:firstLineChars="200" w:firstLine="640"/>
        <w:jc w:val="both"/>
        <w:rPr>
          <w:rFonts w:ascii="Times New Roman" w:eastAsia="仿宋_GB2312" w:hAnsi="Times New Roman"/>
          <w:sz w:val="32"/>
          <w:szCs w:val="32"/>
        </w:rPr>
      </w:pPr>
      <w:r w:rsidRPr="00415187">
        <w:rPr>
          <w:rFonts w:ascii="Times New Roman" w:eastAsia="仿宋_GB2312" w:hAnsi="Times New Roman"/>
          <w:sz w:val="32"/>
          <w:szCs w:val="32"/>
        </w:rPr>
        <w:t>一是要求明确与特殊管理药品供应链安全管理相关机构与人员的责任，并采取适宜的安全风险防控措施；</w:t>
      </w:r>
    </w:p>
    <w:p w:rsidR="008E71CE" w:rsidRPr="00415187" w:rsidRDefault="008E71CE" w:rsidP="008E71CE">
      <w:pPr>
        <w:pStyle w:val="a4"/>
        <w:spacing w:line="560" w:lineRule="exact"/>
        <w:ind w:firstLineChars="200" w:firstLine="640"/>
        <w:jc w:val="both"/>
        <w:rPr>
          <w:rFonts w:ascii="Times New Roman" w:eastAsia="仿宋_GB2312" w:hAnsi="Times New Roman"/>
          <w:sz w:val="32"/>
          <w:szCs w:val="32"/>
        </w:rPr>
      </w:pPr>
      <w:r w:rsidRPr="00415187">
        <w:rPr>
          <w:rFonts w:ascii="Times New Roman" w:eastAsia="仿宋_GB2312" w:hAnsi="Times New Roman"/>
          <w:sz w:val="32"/>
          <w:szCs w:val="32"/>
        </w:rPr>
        <w:t>二是要求特殊管理药品生产厂房与设施、设备，应当能够最大限度地降低供应链安全管理风险以及产品污染和交叉污染风险；</w:t>
      </w:r>
    </w:p>
    <w:p w:rsidR="008E71CE" w:rsidRPr="00415187" w:rsidRDefault="008E71CE" w:rsidP="008E71CE">
      <w:pPr>
        <w:pStyle w:val="a4"/>
        <w:spacing w:line="560" w:lineRule="exact"/>
        <w:ind w:firstLineChars="200" w:firstLine="640"/>
        <w:jc w:val="both"/>
        <w:rPr>
          <w:rFonts w:ascii="Times New Roman" w:eastAsia="仿宋_GB2312" w:hAnsi="Times New Roman"/>
          <w:sz w:val="32"/>
          <w:szCs w:val="32"/>
        </w:rPr>
      </w:pPr>
      <w:r w:rsidRPr="00415187">
        <w:rPr>
          <w:rFonts w:ascii="Times New Roman" w:eastAsia="仿宋_GB2312" w:hAnsi="Times New Roman"/>
          <w:sz w:val="32"/>
          <w:szCs w:val="32"/>
        </w:rPr>
        <w:t>三是在特殊管理药品供应链安全管理、生产管理和质量控制全过程中，要求遵循</w:t>
      </w:r>
      <w:r w:rsidRPr="00415187">
        <w:rPr>
          <w:rFonts w:ascii="Times New Roman" w:eastAsia="仿宋_GB2312" w:hAnsi="Times New Roman"/>
          <w:sz w:val="32"/>
          <w:szCs w:val="32"/>
        </w:rPr>
        <w:t>“</w:t>
      </w:r>
      <w:r w:rsidRPr="00415187">
        <w:rPr>
          <w:rFonts w:ascii="Times New Roman" w:eastAsia="仿宋_GB2312" w:hAnsi="Times New Roman"/>
          <w:sz w:val="32"/>
          <w:szCs w:val="32"/>
        </w:rPr>
        <w:t>双人操作、双人复核</w:t>
      </w:r>
      <w:r w:rsidRPr="00415187">
        <w:rPr>
          <w:rFonts w:ascii="Times New Roman" w:eastAsia="仿宋_GB2312" w:hAnsi="Times New Roman"/>
          <w:sz w:val="32"/>
          <w:szCs w:val="32"/>
        </w:rPr>
        <w:t>”</w:t>
      </w:r>
      <w:r w:rsidRPr="00415187">
        <w:rPr>
          <w:rFonts w:ascii="Times New Roman" w:eastAsia="仿宋_GB2312" w:hAnsi="Times New Roman"/>
          <w:sz w:val="32"/>
          <w:szCs w:val="32"/>
        </w:rPr>
        <w:t>原则，管理过程有记录并可追溯；</w:t>
      </w:r>
    </w:p>
    <w:p w:rsidR="008E71CE" w:rsidRPr="00415187" w:rsidRDefault="008E71CE" w:rsidP="008E71CE">
      <w:pPr>
        <w:pStyle w:val="a4"/>
        <w:spacing w:line="560" w:lineRule="exact"/>
        <w:ind w:firstLineChars="200" w:firstLine="640"/>
        <w:jc w:val="both"/>
        <w:rPr>
          <w:rFonts w:ascii="Times New Roman" w:eastAsia="仿宋_GB2312" w:hAnsi="Times New Roman"/>
          <w:sz w:val="32"/>
          <w:szCs w:val="32"/>
        </w:rPr>
      </w:pPr>
      <w:r w:rsidRPr="00415187">
        <w:rPr>
          <w:rFonts w:ascii="Times New Roman" w:eastAsia="仿宋_GB2312" w:hAnsi="Times New Roman"/>
          <w:sz w:val="32"/>
          <w:szCs w:val="32"/>
        </w:rPr>
        <w:t>四是要求定期回顾特殊管理药品供应链安全管理数据，并验</w:t>
      </w:r>
      <w:r w:rsidRPr="00415187">
        <w:rPr>
          <w:rFonts w:ascii="Times New Roman" w:eastAsia="仿宋_GB2312" w:hAnsi="Times New Roman"/>
          <w:sz w:val="32"/>
          <w:szCs w:val="32"/>
        </w:rPr>
        <w:lastRenderedPageBreak/>
        <w:t>证预防纠正措施的有效性。</w:t>
      </w:r>
    </w:p>
    <w:p w:rsidR="008E71CE" w:rsidRPr="00415187" w:rsidRDefault="008E71CE" w:rsidP="008E71CE">
      <w:pPr>
        <w:pStyle w:val="a4"/>
        <w:spacing w:line="560" w:lineRule="exact"/>
        <w:ind w:firstLineChars="200" w:firstLine="640"/>
        <w:jc w:val="both"/>
        <w:rPr>
          <w:rFonts w:ascii="楷体_GB2312" w:eastAsia="楷体_GB2312" w:hAnsi="Times New Roman"/>
          <w:bCs/>
          <w:sz w:val="32"/>
          <w:szCs w:val="32"/>
        </w:rPr>
      </w:pPr>
      <w:r w:rsidRPr="00415187">
        <w:rPr>
          <w:rFonts w:ascii="楷体_GB2312" w:eastAsia="楷体_GB2312" w:hAnsi="Times New Roman"/>
          <w:bCs/>
          <w:sz w:val="32"/>
          <w:szCs w:val="32"/>
        </w:rPr>
        <w:t>（三）各分章主要内容</w:t>
      </w:r>
    </w:p>
    <w:p w:rsidR="008E71CE" w:rsidRPr="00415187" w:rsidRDefault="008E71CE" w:rsidP="008E71CE">
      <w:pPr>
        <w:pStyle w:val="a4"/>
        <w:spacing w:line="560" w:lineRule="exact"/>
        <w:ind w:firstLineChars="200" w:firstLine="643"/>
        <w:jc w:val="both"/>
        <w:rPr>
          <w:rFonts w:ascii="Times New Roman" w:eastAsia="仿宋_GB2312" w:hAnsi="Times New Roman"/>
          <w:sz w:val="32"/>
          <w:szCs w:val="32"/>
        </w:rPr>
      </w:pPr>
      <w:r w:rsidRPr="00415187">
        <w:rPr>
          <w:rFonts w:ascii="Times New Roman" w:eastAsia="仿宋_GB2312" w:hAnsi="Times New Roman"/>
          <w:b/>
          <w:sz w:val="32"/>
          <w:szCs w:val="32"/>
        </w:rPr>
        <w:t>机构和人员。</w:t>
      </w:r>
      <w:r w:rsidRPr="00415187">
        <w:rPr>
          <w:rFonts w:ascii="Times New Roman" w:eastAsia="仿宋_GB2312" w:hAnsi="Times New Roman"/>
          <w:sz w:val="32"/>
          <w:szCs w:val="32"/>
        </w:rPr>
        <w:t>明确企业应当设立安全管理机构和安全管理受权人，规定机构设置和人员配备原则以及安全管理受权人资格条件和职责，并要求对接触特殊管理药品和特殊活性物质的所有人员进行培训并建立档案。</w:t>
      </w:r>
    </w:p>
    <w:p w:rsidR="008E71CE" w:rsidRPr="00415187" w:rsidRDefault="008E71CE" w:rsidP="008E71CE">
      <w:pPr>
        <w:spacing w:line="560" w:lineRule="exact"/>
        <w:ind w:firstLineChars="200" w:firstLine="643"/>
        <w:rPr>
          <w:rFonts w:eastAsia="仿宋_GB2312"/>
          <w:sz w:val="32"/>
          <w:szCs w:val="32"/>
        </w:rPr>
      </w:pPr>
      <w:r w:rsidRPr="00415187">
        <w:rPr>
          <w:rFonts w:eastAsia="仿宋_GB2312"/>
          <w:b/>
          <w:sz w:val="32"/>
          <w:szCs w:val="32"/>
        </w:rPr>
        <w:t>厂房设施与设备。</w:t>
      </w:r>
      <w:r w:rsidRPr="00415187">
        <w:rPr>
          <w:rFonts w:eastAsia="仿宋_GB2312"/>
          <w:sz w:val="32"/>
          <w:szCs w:val="32"/>
        </w:rPr>
        <w:t>一是要求对共线或共用设备生产特殊管理药品进行风险评估，确认不会产生污染和交叉污染；二是要求根据特殊管理药品产品特性及安全风险，采用相应的储存和安全监控设施设备。</w:t>
      </w:r>
    </w:p>
    <w:p w:rsidR="008E71CE" w:rsidRPr="00415187" w:rsidRDefault="008E71CE" w:rsidP="008E71CE">
      <w:pPr>
        <w:spacing w:line="560" w:lineRule="exact"/>
        <w:ind w:firstLineChars="200" w:firstLine="643"/>
        <w:rPr>
          <w:rFonts w:eastAsia="仿宋_GB2312"/>
          <w:sz w:val="32"/>
          <w:szCs w:val="32"/>
        </w:rPr>
      </w:pPr>
      <w:r w:rsidRPr="00415187">
        <w:rPr>
          <w:rFonts w:eastAsia="仿宋_GB2312"/>
          <w:b/>
          <w:sz w:val="32"/>
          <w:szCs w:val="32"/>
        </w:rPr>
        <w:t>供应链安全管理。</w:t>
      </w:r>
      <w:r w:rsidRPr="00415187">
        <w:rPr>
          <w:rFonts w:eastAsia="仿宋_GB2312"/>
          <w:sz w:val="32"/>
          <w:szCs w:val="32"/>
        </w:rPr>
        <w:t>要求建立覆盖物料采购、储存和领用，产品管理和回收、返工、重新加工，成品销售发运、退货和召回等全过程的供应链安全管理体系，明确购进、销售和发运管理要求，要求在供应链安全管理的各个环节均应建立专用账册和记录，用信息化手段记录和保存信息，并定期对安全管理数据进行回顾，实现可追溯性管理。</w:t>
      </w:r>
    </w:p>
    <w:p w:rsidR="008E71CE" w:rsidRPr="00415187" w:rsidRDefault="008E71CE" w:rsidP="008E71CE">
      <w:pPr>
        <w:spacing w:line="560" w:lineRule="exact"/>
        <w:ind w:firstLineChars="200" w:firstLine="643"/>
        <w:rPr>
          <w:rFonts w:eastAsia="仿宋_GB2312"/>
          <w:sz w:val="32"/>
          <w:szCs w:val="32"/>
        </w:rPr>
      </w:pPr>
      <w:r w:rsidRPr="00415187">
        <w:rPr>
          <w:rFonts w:eastAsia="仿宋_GB2312"/>
          <w:b/>
          <w:sz w:val="32"/>
          <w:szCs w:val="32"/>
        </w:rPr>
        <w:t>生产管理和质量控制。</w:t>
      </w:r>
      <w:r w:rsidRPr="00415187">
        <w:rPr>
          <w:rFonts w:eastAsia="仿宋_GB2312"/>
          <w:sz w:val="32"/>
          <w:szCs w:val="32"/>
        </w:rPr>
        <w:t>明确生产计划管理、安全检查制度、投料监控管理、清洁验证及确认、溶剂回收管理、质量控制、批记录管理、电子数据管理等特殊管理要求。强调在产品批放行时，除质量放行审核外，应当对特殊管理药品物料平衡或收率的偏差进行及时有效地调查，查找原因并实施纠正预防措施。</w:t>
      </w:r>
    </w:p>
    <w:p w:rsidR="008E71CE" w:rsidRPr="00415187" w:rsidRDefault="008E71CE" w:rsidP="008E71CE">
      <w:pPr>
        <w:spacing w:line="560" w:lineRule="exact"/>
        <w:ind w:firstLineChars="200" w:firstLine="640"/>
        <w:rPr>
          <w:rFonts w:eastAsia="黑体"/>
          <w:bCs/>
          <w:sz w:val="32"/>
          <w:szCs w:val="32"/>
        </w:rPr>
      </w:pPr>
      <w:r w:rsidRPr="00415187">
        <w:rPr>
          <w:rFonts w:eastAsia="黑体"/>
          <w:bCs/>
          <w:sz w:val="32"/>
          <w:szCs w:val="32"/>
        </w:rPr>
        <w:t>四、附录特点及其与现行药品</w:t>
      </w:r>
      <w:r w:rsidRPr="00415187">
        <w:rPr>
          <w:rFonts w:eastAsia="黑体"/>
          <w:bCs/>
          <w:sz w:val="32"/>
          <w:szCs w:val="32"/>
        </w:rPr>
        <w:t>GMP</w:t>
      </w:r>
      <w:r w:rsidRPr="00415187">
        <w:rPr>
          <w:rFonts w:eastAsia="黑体"/>
          <w:bCs/>
          <w:sz w:val="32"/>
          <w:szCs w:val="32"/>
        </w:rPr>
        <w:t>的关系</w:t>
      </w:r>
    </w:p>
    <w:p w:rsidR="008E71CE" w:rsidRPr="00415187" w:rsidRDefault="008E71CE" w:rsidP="008E71CE">
      <w:pPr>
        <w:spacing w:line="560" w:lineRule="exact"/>
        <w:ind w:firstLineChars="200" w:firstLine="640"/>
        <w:rPr>
          <w:rFonts w:eastAsia="仿宋_GB2312"/>
          <w:sz w:val="32"/>
          <w:szCs w:val="32"/>
        </w:rPr>
      </w:pPr>
      <w:r w:rsidRPr="00415187">
        <w:rPr>
          <w:rFonts w:eastAsia="仿宋_GB2312"/>
          <w:sz w:val="32"/>
          <w:szCs w:val="32"/>
        </w:rPr>
        <w:t>《特殊管理药品</w:t>
      </w:r>
      <w:r w:rsidRPr="00415187">
        <w:rPr>
          <w:rFonts w:eastAsia="仿宋_GB2312"/>
          <w:sz w:val="32"/>
          <w:szCs w:val="32"/>
        </w:rPr>
        <w:t>GMP</w:t>
      </w:r>
      <w:r w:rsidRPr="00415187">
        <w:rPr>
          <w:rFonts w:eastAsia="仿宋_GB2312"/>
          <w:sz w:val="32"/>
          <w:szCs w:val="32"/>
        </w:rPr>
        <w:t>附录》是对现行药品</w:t>
      </w:r>
      <w:r w:rsidRPr="00415187">
        <w:rPr>
          <w:rFonts w:eastAsia="仿宋_GB2312"/>
          <w:sz w:val="32"/>
          <w:szCs w:val="32"/>
        </w:rPr>
        <w:t>GMP</w:t>
      </w:r>
      <w:r w:rsidRPr="00415187">
        <w:rPr>
          <w:rFonts w:eastAsia="仿宋_GB2312"/>
          <w:sz w:val="32"/>
          <w:szCs w:val="32"/>
        </w:rPr>
        <w:t>的补充。</w:t>
      </w:r>
      <w:r w:rsidRPr="00415187">
        <w:rPr>
          <w:rFonts w:eastAsia="仿宋_GB2312"/>
          <w:sz w:val="32"/>
          <w:szCs w:val="32"/>
        </w:rPr>
        <w:lastRenderedPageBreak/>
        <w:t>附录针对特殊管理药品生产环节特有的质量风险和安全风险，以问题为导向，提出了需要规范和加强监管的关键点，根据</w:t>
      </w:r>
      <w:r w:rsidRPr="00415187">
        <w:rPr>
          <w:rFonts w:eastAsia="仿宋_GB2312"/>
          <w:sz w:val="32"/>
          <w:szCs w:val="32"/>
        </w:rPr>
        <w:t>“</w:t>
      </w:r>
      <w:r w:rsidRPr="00415187">
        <w:rPr>
          <w:rFonts w:eastAsia="仿宋_GB2312"/>
          <w:sz w:val="32"/>
          <w:szCs w:val="32"/>
        </w:rPr>
        <w:t>规范、提高</w:t>
      </w:r>
      <w:r w:rsidRPr="00415187">
        <w:rPr>
          <w:rFonts w:eastAsia="仿宋_GB2312"/>
          <w:sz w:val="32"/>
          <w:szCs w:val="32"/>
        </w:rPr>
        <w:t>”</w:t>
      </w:r>
      <w:r w:rsidRPr="00415187">
        <w:rPr>
          <w:rFonts w:eastAsia="仿宋_GB2312"/>
          <w:sz w:val="32"/>
          <w:szCs w:val="32"/>
        </w:rPr>
        <w:t>的起草原则，结合实际，提高了企业安全管理和质量保证要求。</w:t>
      </w:r>
    </w:p>
    <w:p w:rsidR="008E71CE" w:rsidRPr="00415187" w:rsidRDefault="008E71CE" w:rsidP="008E71CE">
      <w:pPr>
        <w:pStyle w:val="a4"/>
        <w:spacing w:line="560" w:lineRule="exact"/>
        <w:ind w:firstLineChars="200" w:firstLine="640"/>
        <w:jc w:val="both"/>
        <w:rPr>
          <w:rFonts w:ascii="Times New Roman" w:eastAsia="仿宋_GB2312" w:hAnsi="Times New Roman"/>
          <w:sz w:val="32"/>
          <w:szCs w:val="32"/>
        </w:rPr>
      </w:pPr>
      <w:r w:rsidRPr="00415187">
        <w:rPr>
          <w:rFonts w:ascii="楷体_GB2312" w:eastAsia="楷体_GB2312" w:hAnsi="Times New Roman"/>
          <w:bCs/>
          <w:sz w:val="32"/>
          <w:szCs w:val="32"/>
        </w:rPr>
        <w:t>（一）强化企业安全管理主体责任。</w:t>
      </w:r>
      <w:r w:rsidRPr="00415187">
        <w:rPr>
          <w:rFonts w:ascii="Times New Roman" w:eastAsia="仿宋_GB2312" w:hAnsi="Times New Roman"/>
          <w:sz w:val="32"/>
          <w:szCs w:val="32"/>
        </w:rPr>
        <w:t>要求所有涉及特殊管理药品的生产企业（包括特殊管理药品原料药需用企业）设立安全管理机构，建立安全管理受权人制度和人员安全审核制度。</w:t>
      </w:r>
    </w:p>
    <w:p w:rsidR="008E71CE" w:rsidRPr="00415187" w:rsidRDefault="008E71CE" w:rsidP="008E71CE">
      <w:pPr>
        <w:spacing w:line="560" w:lineRule="exact"/>
        <w:ind w:firstLineChars="200" w:firstLine="640"/>
        <w:rPr>
          <w:rFonts w:eastAsia="仿宋_GB2312"/>
          <w:bCs/>
          <w:sz w:val="32"/>
          <w:szCs w:val="32"/>
        </w:rPr>
      </w:pPr>
      <w:r w:rsidRPr="00415187">
        <w:rPr>
          <w:rFonts w:ascii="楷体_GB2312" w:eastAsia="楷体_GB2312"/>
          <w:bCs/>
          <w:sz w:val="32"/>
          <w:szCs w:val="32"/>
        </w:rPr>
        <w:t>（二）要求建立覆盖供应链各环节的安全管理体系。</w:t>
      </w:r>
      <w:r w:rsidRPr="00415187">
        <w:rPr>
          <w:rFonts w:eastAsia="仿宋_GB2312"/>
          <w:sz w:val="32"/>
          <w:szCs w:val="32"/>
        </w:rPr>
        <w:t>首次提出供应链安全管理概念，并将供应链安全管理及体系建设要素贯穿本附录始终，要求建立监控数据回顾、批安全放行及其覆盖生产过程及购进、销售和发运等供应链管理各环节的追溯制度。</w:t>
      </w:r>
    </w:p>
    <w:p w:rsidR="008E71CE" w:rsidRPr="0031199E" w:rsidRDefault="008E71CE" w:rsidP="0023780C">
      <w:pPr>
        <w:spacing w:line="560" w:lineRule="exact"/>
        <w:ind w:firstLineChars="200" w:firstLine="640"/>
        <w:rPr>
          <w:rFonts w:ascii="仿宋_GB2312" w:eastAsia="仿宋_GB2312" w:hAnsi="宋体"/>
          <w:sz w:val="28"/>
          <w:szCs w:val="28"/>
        </w:rPr>
      </w:pPr>
      <w:r w:rsidRPr="00415187">
        <w:rPr>
          <w:rFonts w:ascii="楷体_GB2312" w:eastAsia="楷体_GB2312" w:hint="eastAsia"/>
          <w:bCs/>
          <w:sz w:val="32"/>
          <w:szCs w:val="32"/>
        </w:rPr>
        <w:t>（三）</w:t>
      </w:r>
      <w:r w:rsidRPr="00415187">
        <w:rPr>
          <w:rFonts w:ascii="楷体_GB2312" w:eastAsia="楷体_GB2312" w:hint="eastAsia"/>
          <w:sz w:val="32"/>
          <w:szCs w:val="32"/>
        </w:rPr>
        <w:t>充分吸收现有特药生产管理经验。</w:t>
      </w:r>
      <w:r w:rsidRPr="00415187">
        <w:rPr>
          <w:rFonts w:eastAsia="仿宋_GB2312"/>
          <w:sz w:val="32"/>
          <w:szCs w:val="32"/>
        </w:rPr>
        <w:t>对现有分散的特殊管理药品生产销售监管要求进行归纳整合，并加以明确，比如，</w:t>
      </w:r>
      <w:r w:rsidRPr="00415187">
        <w:rPr>
          <w:rFonts w:eastAsia="仿宋_GB2312"/>
          <w:sz w:val="32"/>
          <w:szCs w:val="32"/>
        </w:rPr>
        <w:t>“</w:t>
      </w:r>
      <w:r w:rsidRPr="00415187">
        <w:rPr>
          <w:rFonts w:eastAsia="仿宋_GB2312"/>
          <w:sz w:val="32"/>
          <w:szCs w:val="32"/>
        </w:rPr>
        <w:t>生产计划管理</w:t>
      </w:r>
      <w:r w:rsidRPr="00415187">
        <w:rPr>
          <w:rFonts w:eastAsia="仿宋_GB2312"/>
          <w:sz w:val="32"/>
          <w:szCs w:val="32"/>
        </w:rPr>
        <w:t>”“</w:t>
      </w:r>
      <w:r w:rsidRPr="00415187">
        <w:rPr>
          <w:rFonts w:eastAsia="仿宋_GB2312"/>
          <w:sz w:val="32"/>
          <w:szCs w:val="32"/>
        </w:rPr>
        <w:t>双人操作、双人复核</w:t>
      </w:r>
      <w:r w:rsidRPr="00415187">
        <w:rPr>
          <w:rFonts w:eastAsia="仿宋_GB2312"/>
          <w:sz w:val="32"/>
          <w:szCs w:val="32"/>
        </w:rPr>
        <w:t>”“</w:t>
      </w:r>
      <w:r w:rsidRPr="00415187">
        <w:rPr>
          <w:rFonts w:eastAsia="仿宋_GB2312"/>
          <w:sz w:val="32"/>
          <w:szCs w:val="32"/>
        </w:rPr>
        <w:t>领料不停产，停产不领料</w:t>
      </w:r>
      <w:r w:rsidRPr="00415187">
        <w:rPr>
          <w:rFonts w:eastAsia="仿宋_GB2312"/>
          <w:sz w:val="32"/>
          <w:szCs w:val="32"/>
        </w:rPr>
        <w:t>”“</w:t>
      </w:r>
      <w:r w:rsidRPr="00415187">
        <w:rPr>
          <w:rFonts w:eastAsia="仿宋_GB2312"/>
          <w:sz w:val="32"/>
          <w:szCs w:val="32"/>
        </w:rPr>
        <w:t>专用账册</w:t>
      </w:r>
      <w:r w:rsidRPr="00415187">
        <w:rPr>
          <w:rFonts w:eastAsia="仿宋_GB2312"/>
          <w:sz w:val="32"/>
          <w:szCs w:val="32"/>
        </w:rPr>
        <w:t>”“</w:t>
      </w:r>
      <w:r w:rsidRPr="00415187">
        <w:rPr>
          <w:rFonts w:eastAsia="仿宋_GB2312"/>
          <w:sz w:val="32"/>
          <w:szCs w:val="32"/>
        </w:rPr>
        <w:t>仓储安全管理及监控</w:t>
      </w:r>
      <w:r w:rsidRPr="00415187">
        <w:rPr>
          <w:rFonts w:eastAsia="仿宋_GB2312"/>
          <w:sz w:val="32"/>
          <w:szCs w:val="32"/>
        </w:rPr>
        <w:t>”“</w:t>
      </w:r>
      <w:r w:rsidRPr="00415187">
        <w:rPr>
          <w:rFonts w:eastAsia="仿宋_GB2312"/>
          <w:sz w:val="32"/>
          <w:szCs w:val="32"/>
        </w:rPr>
        <w:t>生产投料监控管理</w:t>
      </w:r>
      <w:r w:rsidRPr="00415187">
        <w:rPr>
          <w:rFonts w:eastAsia="仿宋_GB2312"/>
          <w:sz w:val="32"/>
          <w:szCs w:val="32"/>
        </w:rPr>
        <w:t>”</w:t>
      </w:r>
      <w:r w:rsidRPr="00415187">
        <w:rPr>
          <w:rFonts w:eastAsia="仿宋_GB2312"/>
          <w:sz w:val="32"/>
          <w:szCs w:val="32"/>
        </w:rPr>
        <w:t>等要求。</w:t>
      </w:r>
    </w:p>
    <w:p w:rsidR="00F26FB8" w:rsidRPr="008E71CE" w:rsidRDefault="00F26FB8">
      <w:bookmarkStart w:id="0" w:name="_GoBack"/>
      <w:bookmarkEnd w:id="0"/>
    </w:p>
    <w:sectPr w:rsidR="00F26FB8" w:rsidRPr="008E71CE" w:rsidSect="00415187">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C7" w:rsidRDefault="00DD59C7" w:rsidP="00BA20EA">
      <w:r>
        <w:separator/>
      </w:r>
    </w:p>
  </w:endnote>
  <w:endnote w:type="continuationSeparator" w:id="1">
    <w:p w:rsidR="00DD59C7" w:rsidRDefault="00DD59C7" w:rsidP="00BA2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3" w:rsidRPr="00415187" w:rsidRDefault="008E71CE">
    <w:pPr>
      <w:pStyle w:val="a3"/>
      <w:rPr>
        <w:sz w:val="28"/>
        <w:szCs w:val="28"/>
      </w:rPr>
    </w:pPr>
    <w:r w:rsidRPr="00415187">
      <w:rPr>
        <w:rFonts w:hint="eastAsia"/>
        <w:color w:val="FFFFFF"/>
        <w:sz w:val="28"/>
        <w:szCs w:val="28"/>
      </w:rPr>
      <w:t>—</w:t>
    </w:r>
    <w:r w:rsidRPr="00415187">
      <w:rPr>
        <w:rFonts w:hint="eastAsia"/>
        <w:sz w:val="28"/>
        <w:szCs w:val="28"/>
      </w:rPr>
      <w:t>—</w:t>
    </w:r>
    <w:r w:rsidR="00BA20EA" w:rsidRPr="00415187">
      <w:rPr>
        <w:sz w:val="28"/>
        <w:szCs w:val="28"/>
      </w:rPr>
      <w:fldChar w:fldCharType="begin"/>
    </w:r>
    <w:r w:rsidRPr="00415187">
      <w:rPr>
        <w:sz w:val="28"/>
        <w:szCs w:val="28"/>
      </w:rPr>
      <w:instrText>PAGE   \* MERGEFORMAT</w:instrText>
    </w:r>
    <w:r w:rsidR="00BA20EA" w:rsidRPr="00415187">
      <w:rPr>
        <w:sz w:val="28"/>
        <w:szCs w:val="28"/>
      </w:rPr>
      <w:fldChar w:fldCharType="separate"/>
    </w:r>
    <w:r w:rsidRPr="00DA71AD">
      <w:rPr>
        <w:noProof/>
        <w:sz w:val="28"/>
        <w:szCs w:val="28"/>
        <w:lang w:val="zh-CN"/>
      </w:rPr>
      <w:t>26</w:t>
    </w:r>
    <w:r w:rsidR="00BA20EA" w:rsidRPr="00415187">
      <w:rPr>
        <w:sz w:val="28"/>
        <w:szCs w:val="28"/>
      </w:rPr>
      <w:fldChar w:fldCharType="end"/>
    </w:r>
    <w:r w:rsidRPr="00415187">
      <w:rPr>
        <w:rFonts w:hint="eastAsia"/>
        <w:sz w:val="28"/>
        <w:szCs w:val="28"/>
      </w:rPr>
      <w:t>—</w:t>
    </w:r>
  </w:p>
  <w:p w:rsidR="00054F05" w:rsidRDefault="00DD59C7" w:rsidP="0041518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3" w:rsidRPr="00415187" w:rsidRDefault="008E71CE" w:rsidP="00415187">
    <w:pPr>
      <w:pStyle w:val="a3"/>
      <w:wordWrap w:val="0"/>
      <w:jc w:val="right"/>
      <w:rPr>
        <w:sz w:val="28"/>
        <w:szCs w:val="28"/>
      </w:rPr>
    </w:pPr>
    <w:r w:rsidRPr="00415187">
      <w:rPr>
        <w:rFonts w:hint="eastAsia"/>
        <w:sz w:val="28"/>
        <w:szCs w:val="28"/>
      </w:rPr>
      <w:t>—</w:t>
    </w:r>
    <w:r w:rsidR="00BA20EA" w:rsidRPr="00415187">
      <w:rPr>
        <w:sz w:val="28"/>
        <w:szCs w:val="28"/>
      </w:rPr>
      <w:fldChar w:fldCharType="begin"/>
    </w:r>
    <w:r w:rsidRPr="00415187">
      <w:rPr>
        <w:sz w:val="28"/>
        <w:szCs w:val="28"/>
      </w:rPr>
      <w:instrText>PAGE   \* MERGEFORMAT</w:instrText>
    </w:r>
    <w:r w:rsidR="00BA20EA" w:rsidRPr="00415187">
      <w:rPr>
        <w:sz w:val="28"/>
        <w:szCs w:val="28"/>
      </w:rPr>
      <w:fldChar w:fldCharType="separate"/>
    </w:r>
    <w:r w:rsidR="0023780C" w:rsidRPr="0023780C">
      <w:rPr>
        <w:noProof/>
        <w:sz w:val="28"/>
        <w:szCs w:val="28"/>
        <w:lang w:val="zh-CN"/>
      </w:rPr>
      <w:t>5</w:t>
    </w:r>
    <w:r w:rsidR="00BA20EA" w:rsidRPr="00415187">
      <w:rPr>
        <w:sz w:val="28"/>
        <w:szCs w:val="28"/>
      </w:rPr>
      <w:fldChar w:fldCharType="end"/>
    </w:r>
    <w:r w:rsidRPr="00415187">
      <w:rPr>
        <w:rFonts w:hint="eastAsia"/>
        <w:sz w:val="28"/>
        <w:szCs w:val="28"/>
      </w:rPr>
      <w:t>—</w:t>
    </w:r>
    <w:r w:rsidRPr="00415187">
      <w:rPr>
        <w:rFonts w:hint="eastAsia"/>
        <w:color w:val="FFFFFF"/>
        <w:sz w:val="28"/>
        <w:szCs w:val="28"/>
      </w:rPr>
      <w:t>—</w:t>
    </w:r>
  </w:p>
  <w:p w:rsidR="00054F05" w:rsidRDefault="00DD59C7" w:rsidP="00BC1D0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C7" w:rsidRDefault="00DD59C7" w:rsidP="00BA20EA">
      <w:r>
        <w:separator/>
      </w:r>
    </w:p>
  </w:footnote>
  <w:footnote w:type="continuationSeparator" w:id="1">
    <w:p w:rsidR="00DD59C7" w:rsidRDefault="00DD59C7" w:rsidP="00BA2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E78"/>
    <w:rsid w:val="0023780C"/>
    <w:rsid w:val="003A449A"/>
    <w:rsid w:val="006E3181"/>
    <w:rsid w:val="008D4E78"/>
    <w:rsid w:val="008E71CE"/>
    <w:rsid w:val="00BA20EA"/>
    <w:rsid w:val="00DD59C7"/>
    <w:rsid w:val="00F26F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CE"/>
    <w:pPr>
      <w:widowControl w:val="0"/>
      <w:jc w:val="both"/>
    </w:pPr>
    <w:rPr>
      <w:rFonts w:ascii="Times New Roman" w:eastAsia="宋体" w:hAnsi="Times New Roman" w:cs="Times New Roman"/>
      <w:szCs w:val="24"/>
    </w:rPr>
  </w:style>
  <w:style w:type="paragraph" w:styleId="1">
    <w:name w:val="heading 1"/>
    <w:basedOn w:val="a"/>
    <w:next w:val="a"/>
    <w:link w:val="1Char"/>
    <w:qFormat/>
    <w:rsid w:val="008E71CE"/>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1CE"/>
    <w:rPr>
      <w:rFonts w:ascii="宋体" w:eastAsia="宋体" w:hAnsi="宋体" w:cs="Times New Roman"/>
      <w:b/>
      <w:kern w:val="44"/>
      <w:sz w:val="48"/>
      <w:szCs w:val="48"/>
    </w:rPr>
  </w:style>
  <w:style w:type="paragraph" w:styleId="a3">
    <w:name w:val="footer"/>
    <w:basedOn w:val="a"/>
    <w:link w:val="Char"/>
    <w:uiPriority w:val="99"/>
    <w:rsid w:val="008E71CE"/>
    <w:pPr>
      <w:tabs>
        <w:tab w:val="center" w:pos="4153"/>
        <w:tab w:val="right" w:pos="8306"/>
      </w:tabs>
      <w:snapToGrid w:val="0"/>
      <w:jc w:val="left"/>
    </w:pPr>
    <w:rPr>
      <w:sz w:val="18"/>
      <w:szCs w:val="18"/>
    </w:rPr>
  </w:style>
  <w:style w:type="character" w:customStyle="1" w:styleId="Char">
    <w:name w:val="页脚 Char"/>
    <w:basedOn w:val="a0"/>
    <w:link w:val="a3"/>
    <w:uiPriority w:val="99"/>
    <w:rsid w:val="008E71CE"/>
    <w:rPr>
      <w:rFonts w:ascii="Times New Roman" w:eastAsia="宋体" w:hAnsi="Times New Roman" w:cs="Times New Roman"/>
      <w:sz w:val="18"/>
      <w:szCs w:val="18"/>
    </w:rPr>
  </w:style>
  <w:style w:type="paragraph" w:styleId="a4">
    <w:name w:val="annotation text"/>
    <w:basedOn w:val="a"/>
    <w:link w:val="Char0"/>
    <w:uiPriority w:val="99"/>
    <w:qFormat/>
    <w:rsid w:val="008E71CE"/>
    <w:pPr>
      <w:jc w:val="left"/>
    </w:pPr>
    <w:rPr>
      <w:rFonts w:ascii="Calibri" w:hAnsi="Calibri"/>
    </w:rPr>
  </w:style>
  <w:style w:type="character" w:customStyle="1" w:styleId="Char0">
    <w:name w:val="批注文字 Char"/>
    <w:basedOn w:val="a0"/>
    <w:link w:val="a4"/>
    <w:uiPriority w:val="99"/>
    <w:rsid w:val="008E71CE"/>
    <w:rPr>
      <w:rFonts w:ascii="Calibri" w:eastAsia="宋体" w:hAnsi="Calibri" w:cs="Times New Roman"/>
      <w:szCs w:val="24"/>
    </w:rPr>
  </w:style>
  <w:style w:type="paragraph" w:styleId="a5">
    <w:name w:val="Plain Text"/>
    <w:basedOn w:val="a"/>
    <w:link w:val="Char1"/>
    <w:qFormat/>
    <w:rsid w:val="008E71CE"/>
    <w:rPr>
      <w:rFonts w:ascii="宋体" w:eastAsia="仿宋_GB2312" w:hAnsi="Courier New"/>
      <w:sz w:val="30"/>
      <w:szCs w:val="20"/>
    </w:rPr>
  </w:style>
  <w:style w:type="character" w:customStyle="1" w:styleId="Char1">
    <w:name w:val="纯文本 Char"/>
    <w:basedOn w:val="a0"/>
    <w:link w:val="a5"/>
    <w:rsid w:val="008E71CE"/>
    <w:rPr>
      <w:rFonts w:ascii="宋体" w:eastAsia="仿宋_GB2312" w:hAnsi="Courier New" w:cs="Times New Roman"/>
      <w:sz w:val="30"/>
      <w:szCs w:val="20"/>
    </w:rPr>
  </w:style>
  <w:style w:type="paragraph" w:styleId="a6">
    <w:name w:val="Normal (Web)"/>
    <w:basedOn w:val="a"/>
    <w:qFormat/>
    <w:rsid w:val="008E71CE"/>
    <w:pPr>
      <w:spacing w:before="100" w:beforeAutospacing="1" w:after="100" w:afterAutospacing="1"/>
      <w:jc w:val="left"/>
    </w:pPr>
    <w:rPr>
      <w:rFonts w:ascii="Calibri" w:hAnsi="Calibri"/>
      <w:kern w:val="0"/>
      <w:sz w:val="24"/>
    </w:rPr>
  </w:style>
  <w:style w:type="paragraph" w:styleId="a7">
    <w:name w:val="header"/>
    <w:basedOn w:val="a"/>
    <w:link w:val="Char2"/>
    <w:uiPriority w:val="99"/>
    <w:semiHidden/>
    <w:unhideWhenUsed/>
    <w:rsid w:val="006E31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6E3181"/>
    <w:rPr>
      <w:rFonts w:ascii="Times New Roman" w:eastAsia="宋体" w:hAnsi="Times New Roman" w:cs="Times New Roman"/>
      <w:sz w:val="18"/>
      <w:szCs w:val="18"/>
    </w:rPr>
  </w:style>
  <w:style w:type="paragraph" w:styleId="a8">
    <w:name w:val="Date"/>
    <w:basedOn w:val="a"/>
    <w:next w:val="a"/>
    <w:link w:val="Char3"/>
    <w:uiPriority w:val="99"/>
    <w:semiHidden/>
    <w:unhideWhenUsed/>
    <w:rsid w:val="006E3181"/>
    <w:pPr>
      <w:ind w:leftChars="2500" w:left="100"/>
    </w:pPr>
  </w:style>
  <w:style w:type="character" w:customStyle="1" w:styleId="Char3">
    <w:name w:val="日期 Char"/>
    <w:basedOn w:val="a0"/>
    <w:link w:val="a8"/>
    <w:uiPriority w:val="99"/>
    <w:semiHidden/>
    <w:rsid w:val="006E318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CE"/>
    <w:pPr>
      <w:widowControl w:val="0"/>
      <w:jc w:val="both"/>
    </w:pPr>
    <w:rPr>
      <w:rFonts w:ascii="Times New Roman" w:eastAsia="宋体" w:hAnsi="Times New Roman" w:cs="Times New Roman"/>
      <w:szCs w:val="24"/>
    </w:rPr>
  </w:style>
  <w:style w:type="paragraph" w:styleId="1">
    <w:name w:val="heading 1"/>
    <w:basedOn w:val="a"/>
    <w:next w:val="a"/>
    <w:link w:val="1Char"/>
    <w:qFormat/>
    <w:rsid w:val="008E71CE"/>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1CE"/>
    <w:rPr>
      <w:rFonts w:ascii="宋体" w:eastAsia="宋体" w:hAnsi="宋体" w:cs="Times New Roman"/>
      <w:b/>
      <w:kern w:val="44"/>
      <w:sz w:val="48"/>
      <w:szCs w:val="48"/>
    </w:rPr>
  </w:style>
  <w:style w:type="paragraph" w:styleId="a3">
    <w:name w:val="footer"/>
    <w:basedOn w:val="a"/>
    <w:link w:val="Char"/>
    <w:uiPriority w:val="99"/>
    <w:rsid w:val="008E71CE"/>
    <w:pPr>
      <w:tabs>
        <w:tab w:val="center" w:pos="4153"/>
        <w:tab w:val="right" w:pos="8306"/>
      </w:tabs>
      <w:snapToGrid w:val="0"/>
      <w:jc w:val="left"/>
    </w:pPr>
    <w:rPr>
      <w:sz w:val="18"/>
      <w:szCs w:val="18"/>
    </w:rPr>
  </w:style>
  <w:style w:type="character" w:customStyle="1" w:styleId="Char">
    <w:name w:val="页脚 Char"/>
    <w:basedOn w:val="a0"/>
    <w:link w:val="a3"/>
    <w:uiPriority w:val="99"/>
    <w:rsid w:val="008E71CE"/>
    <w:rPr>
      <w:rFonts w:ascii="Times New Roman" w:eastAsia="宋体" w:hAnsi="Times New Roman" w:cs="Times New Roman"/>
      <w:sz w:val="18"/>
      <w:szCs w:val="18"/>
    </w:rPr>
  </w:style>
  <w:style w:type="paragraph" w:styleId="a4">
    <w:name w:val="annotation text"/>
    <w:basedOn w:val="a"/>
    <w:link w:val="Char0"/>
    <w:uiPriority w:val="99"/>
    <w:qFormat/>
    <w:rsid w:val="008E71CE"/>
    <w:pPr>
      <w:jc w:val="left"/>
    </w:pPr>
    <w:rPr>
      <w:rFonts w:ascii="Calibri" w:hAnsi="Calibri"/>
    </w:rPr>
  </w:style>
  <w:style w:type="character" w:customStyle="1" w:styleId="Char0">
    <w:name w:val="批注文字 Char"/>
    <w:basedOn w:val="a0"/>
    <w:link w:val="a4"/>
    <w:uiPriority w:val="99"/>
    <w:rsid w:val="008E71CE"/>
    <w:rPr>
      <w:rFonts w:ascii="Calibri" w:eastAsia="宋体" w:hAnsi="Calibri" w:cs="Times New Roman"/>
      <w:szCs w:val="24"/>
    </w:rPr>
  </w:style>
  <w:style w:type="paragraph" w:styleId="a5">
    <w:name w:val="Plain Text"/>
    <w:basedOn w:val="a"/>
    <w:link w:val="Char1"/>
    <w:qFormat/>
    <w:rsid w:val="008E71CE"/>
    <w:rPr>
      <w:rFonts w:ascii="宋体" w:eastAsia="仿宋_GB2312" w:hAnsi="Courier New"/>
      <w:sz w:val="30"/>
      <w:szCs w:val="20"/>
    </w:rPr>
  </w:style>
  <w:style w:type="character" w:customStyle="1" w:styleId="Char1">
    <w:name w:val="纯文本 Char"/>
    <w:basedOn w:val="a0"/>
    <w:link w:val="a5"/>
    <w:rsid w:val="008E71CE"/>
    <w:rPr>
      <w:rFonts w:ascii="宋体" w:eastAsia="仿宋_GB2312" w:hAnsi="Courier New" w:cs="Times New Roman"/>
      <w:sz w:val="30"/>
      <w:szCs w:val="20"/>
    </w:rPr>
  </w:style>
  <w:style w:type="paragraph" w:styleId="a6">
    <w:name w:val="Normal (Web)"/>
    <w:basedOn w:val="a"/>
    <w:qFormat/>
    <w:rsid w:val="008E71CE"/>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2172</Characters>
  <Application>Microsoft Office Word</Application>
  <DocSecurity>0</DocSecurity>
  <Lines>18</Lines>
  <Paragraphs>5</Paragraphs>
  <ScaleCrop>false</ScaleCrop>
  <Company>CFDA</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2017-10-17T09:20:00Z</dcterms:created>
  <dcterms:modified xsi:type="dcterms:W3CDTF">2017-10-17T09:20:00Z</dcterms:modified>
</cp:coreProperties>
</file>