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685" w:rsidRDefault="00203685" w:rsidP="00203685">
      <w:pPr>
        <w:pStyle w:val="p0"/>
        <w:adjustRightInd w:val="0"/>
        <w:snapToGrid w:val="0"/>
        <w:spacing w:line="660" w:lineRule="exact"/>
        <w:rPr>
          <w:rFonts w:ascii="黑体" w:eastAsia="黑体" w:hAnsi="黑体" w:cs="Times New Roman"/>
          <w:kern w:val="2"/>
          <w:sz w:val="32"/>
          <w:szCs w:val="32"/>
        </w:rPr>
      </w:pPr>
      <w:r w:rsidRPr="008943C4">
        <w:rPr>
          <w:rFonts w:ascii="黑体" w:eastAsia="黑体" w:hAnsi="黑体" w:cs="Times New Roman" w:hint="eastAsia"/>
          <w:kern w:val="2"/>
          <w:sz w:val="32"/>
          <w:szCs w:val="32"/>
        </w:rPr>
        <w:t>附件</w:t>
      </w:r>
    </w:p>
    <w:p w:rsidR="00203685" w:rsidRDefault="00203685" w:rsidP="00203685">
      <w:pPr>
        <w:pStyle w:val="p0"/>
        <w:adjustRightInd w:val="0"/>
        <w:snapToGrid w:val="0"/>
        <w:spacing w:line="660" w:lineRule="exact"/>
        <w:rPr>
          <w:rFonts w:ascii="黑体" w:eastAsia="黑体" w:hAnsi="黑体" w:cs="Times New Roman"/>
          <w:kern w:val="2"/>
          <w:sz w:val="32"/>
          <w:szCs w:val="32"/>
        </w:rPr>
      </w:pPr>
    </w:p>
    <w:p w:rsidR="00203685" w:rsidRDefault="00203685" w:rsidP="00203685">
      <w:pPr>
        <w:pStyle w:val="p0"/>
        <w:adjustRightInd w:val="0"/>
        <w:snapToGrid w:val="0"/>
        <w:spacing w:line="660" w:lineRule="exact"/>
        <w:jc w:val="center"/>
        <w:rPr>
          <w:rFonts w:ascii="方正小标宋简体" w:eastAsia="方正小标宋简体"/>
          <w:color w:val="000000"/>
          <w:sz w:val="44"/>
          <w:szCs w:val="44"/>
        </w:rPr>
      </w:pPr>
      <w:r w:rsidRPr="008943C4">
        <w:rPr>
          <w:rFonts w:ascii="方正小标宋简体" w:eastAsia="方正小标宋简体" w:hint="eastAsia"/>
          <w:color w:val="000000"/>
          <w:sz w:val="44"/>
          <w:szCs w:val="44"/>
        </w:rPr>
        <w:t>关于胃肠道局部作用药物、电解质平衡用药</w:t>
      </w:r>
    </w:p>
    <w:p w:rsidR="00203685" w:rsidRDefault="00203685" w:rsidP="00203685">
      <w:pPr>
        <w:pStyle w:val="p0"/>
        <w:adjustRightInd w:val="0"/>
        <w:snapToGrid w:val="0"/>
        <w:spacing w:line="660" w:lineRule="exact"/>
        <w:jc w:val="center"/>
        <w:rPr>
          <w:rFonts w:ascii="方正小标宋简体" w:eastAsia="方正小标宋简体"/>
          <w:color w:val="000000"/>
          <w:sz w:val="44"/>
          <w:szCs w:val="44"/>
        </w:rPr>
      </w:pPr>
      <w:r w:rsidRPr="008943C4">
        <w:rPr>
          <w:rFonts w:ascii="方正小标宋简体" w:eastAsia="方正小标宋简体" w:hint="eastAsia"/>
          <w:color w:val="000000"/>
          <w:sz w:val="44"/>
          <w:szCs w:val="44"/>
        </w:rPr>
        <w:t>仿制药质量和疗效一致性评价及特殊药品</w:t>
      </w:r>
    </w:p>
    <w:p w:rsidR="00203685" w:rsidRDefault="00203685" w:rsidP="00203685">
      <w:pPr>
        <w:pStyle w:val="p0"/>
        <w:adjustRightInd w:val="0"/>
        <w:snapToGrid w:val="0"/>
        <w:spacing w:line="660" w:lineRule="exact"/>
        <w:jc w:val="center"/>
        <w:rPr>
          <w:rFonts w:ascii="方正小标宋简体" w:eastAsia="方正小标宋简体"/>
          <w:color w:val="000000"/>
          <w:sz w:val="44"/>
          <w:szCs w:val="44"/>
        </w:rPr>
      </w:pPr>
      <w:r w:rsidRPr="008943C4">
        <w:rPr>
          <w:rFonts w:ascii="方正小标宋简体" w:eastAsia="方正小标宋简体" w:hint="eastAsia"/>
          <w:color w:val="000000"/>
          <w:sz w:val="44"/>
          <w:szCs w:val="44"/>
        </w:rPr>
        <w:t>生物等效性试验申请有关事宜的意见</w:t>
      </w:r>
    </w:p>
    <w:p w:rsidR="00203685" w:rsidRPr="0018454A" w:rsidRDefault="00203685" w:rsidP="00203685">
      <w:pPr>
        <w:pStyle w:val="p0"/>
        <w:adjustRightInd w:val="0"/>
        <w:snapToGrid w:val="0"/>
        <w:spacing w:line="660" w:lineRule="exact"/>
        <w:jc w:val="center"/>
        <w:rPr>
          <w:rFonts w:ascii="楷体_GB2312" w:eastAsia="楷体_GB2312" w:hAnsi="楷体"/>
          <w:sz w:val="32"/>
          <w:szCs w:val="32"/>
        </w:rPr>
      </w:pPr>
      <w:r w:rsidRPr="0018454A">
        <w:rPr>
          <w:rFonts w:ascii="楷体_GB2312" w:eastAsia="楷体_GB2312" w:hAnsi="楷体" w:hint="eastAsia"/>
          <w:color w:val="000000"/>
          <w:sz w:val="32"/>
          <w:szCs w:val="32"/>
        </w:rPr>
        <w:t>（征</w:t>
      </w:r>
      <w:r w:rsidRPr="0018454A">
        <w:rPr>
          <w:rFonts w:ascii="楷体_GB2312" w:eastAsia="楷体_GB2312" w:hAnsi="楷体" w:hint="eastAsia"/>
          <w:sz w:val="32"/>
          <w:szCs w:val="32"/>
        </w:rPr>
        <w:t>求意见稿）</w:t>
      </w:r>
    </w:p>
    <w:p w:rsidR="00203685" w:rsidRPr="0018454A" w:rsidRDefault="00203685" w:rsidP="00203685">
      <w:pPr>
        <w:pStyle w:val="p0"/>
        <w:adjustRightInd w:val="0"/>
        <w:snapToGrid w:val="0"/>
        <w:spacing w:line="660" w:lineRule="exact"/>
        <w:jc w:val="center"/>
        <w:rPr>
          <w:rFonts w:ascii="楷体_GB2312" w:eastAsia="楷体_GB2312" w:hAnsi="楷体" w:cs="Times New Roman"/>
          <w:kern w:val="2"/>
          <w:sz w:val="32"/>
          <w:szCs w:val="32"/>
        </w:rPr>
      </w:pPr>
    </w:p>
    <w:p w:rsidR="00203685" w:rsidRPr="0018454A" w:rsidRDefault="00203685" w:rsidP="00203685">
      <w:pPr>
        <w:pStyle w:val="p0"/>
        <w:widowControl w:val="0"/>
        <w:adjustRightInd w:val="0"/>
        <w:snapToGrid w:val="0"/>
        <w:spacing w:line="600" w:lineRule="exact"/>
        <w:ind w:firstLineChars="200" w:firstLine="640"/>
        <w:rPr>
          <w:rFonts w:ascii="黑体" w:eastAsia="黑体" w:hAnsi="黑体" w:cs="Times New Roman"/>
          <w:kern w:val="2"/>
          <w:sz w:val="32"/>
          <w:szCs w:val="32"/>
        </w:rPr>
      </w:pPr>
      <w:r w:rsidRPr="0018454A">
        <w:rPr>
          <w:rFonts w:ascii="黑体" w:eastAsia="黑体" w:hAnsi="黑体" w:cs="Times New Roman"/>
          <w:kern w:val="2"/>
          <w:sz w:val="32"/>
          <w:szCs w:val="32"/>
        </w:rPr>
        <w:t>一、关于胃肠道局部作用药物</w:t>
      </w:r>
      <w:r w:rsidRPr="0018454A">
        <w:rPr>
          <w:rFonts w:ascii="黑体" w:eastAsia="黑体" w:hAnsi="黑体" w:cs="Times New Roman"/>
          <w:sz w:val="32"/>
          <w:szCs w:val="32"/>
        </w:rPr>
        <w:t>、电解质平衡用药一致性评价有关事宜</w:t>
      </w:r>
    </w:p>
    <w:p w:rsidR="00203685" w:rsidRPr="0018454A" w:rsidRDefault="00203685" w:rsidP="00203685">
      <w:pPr>
        <w:pStyle w:val="p0"/>
        <w:widowControl w:val="0"/>
        <w:adjustRightInd w:val="0"/>
        <w:snapToGrid w:val="0"/>
        <w:spacing w:line="600" w:lineRule="exact"/>
        <w:ind w:firstLineChars="200" w:firstLine="640"/>
        <w:rPr>
          <w:rFonts w:ascii="Times New Roman" w:eastAsia="仿宋_GB2312" w:hAnsi="Times New Roman" w:cs="Times New Roman"/>
          <w:kern w:val="2"/>
          <w:sz w:val="32"/>
          <w:szCs w:val="32"/>
        </w:rPr>
      </w:pPr>
      <w:r w:rsidRPr="0018454A">
        <w:rPr>
          <w:rFonts w:ascii="Times New Roman" w:eastAsia="仿宋_GB2312" w:hAnsi="Times New Roman" w:cs="Times New Roman"/>
          <w:sz w:val="32"/>
          <w:szCs w:val="32"/>
        </w:rPr>
        <w:t>仿制药质量</w:t>
      </w:r>
      <w:r>
        <w:rPr>
          <w:rFonts w:ascii="Times New Roman" w:eastAsia="仿宋_GB2312" w:hAnsi="Times New Roman" w:cs="Times New Roman" w:hint="eastAsia"/>
          <w:sz w:val="32"/>
          <w:szCs w:val="32"/>
        </w:rPr>
        <w:t>和</w:t>
      </w:r>
      <w:r w:rsidRPr="0018454A">
        <w:rPr>
          <w:rFonts w:ascii="Times New Roman" w:eastAsia="仿宋_GB2312" w:hAnsi="Times New Roman" w:cs="Times New Roman"/>
          <w:sz w:val="32"/>
          <w:szCs w:val="32"/>
        </w:rPr>
        <w:t>疗效一致性评价办公室对《关于落实〈国务院办公厅关于开展仿制药质量和疗效一致性评价的意见〉有关事项的公告》（国家食品药品监督管理总局公告</w:t>
      </w:r>
      <w:r w:rsidRPr="0018454A">
        <w:rPr>
          <w:rFonts w:ascii="Times New Roman" w:eastAsia="仿宋_GB2312" w:hAnsi="Times New Roman" w:cs="Times New Roman"/>
          <w:sz w:val="32"/>
          <w:szCs w:val="32"/>
        </w:rPr>
        <w:t>2016</w:t>
      </w:r>
      <w:r w:rsidRPr="0018454A">
        <w:rPr>
          <w:rFonts w:ascii="Times New Roman" w:eastAsia="仿宋_GB2312" w:hAnsi="Times New Roman" w:cs="Times New Roman"/>
          <w:sz w:val="32"/>
          <w:szCs w:val="32"/>
        </w:rPr>
        <w:t>年第</w:t>
      </w:r>
      <w:r w:rsidRPr="0018454A">
        <w:rPr>
          <w:rFonts w:ascii="Times New Roman" w:eastAsia="仿宋_GB2312" w:hAnsi="Times New Roman" w:cs="Times New Roman"/>
          <w:sz w:val="32"/>
          <w:szCs w:val="32"/>
        </w:rPr>
        <w:t>106</w:t>
      </w:r>
      <w:r w:rsidRPr="0018454A">
        <w:rPr>
          <w:rFonts w:ascii="Times New Roman" w:eastAsia="仿宋_GB2312" w:hAnsi="Times New Roman" w:cs="Times New Roman"/>
          <w:sz w:val="32"/>
          <w:szCs w:val="32"/>
        </w:rPr>
        <w:t>号）中</w:t>
      </w:r>
      <w:r w:rsidRPr="0018454A">
        <w:rPr>
          <w:rFonts w:ascii="Times New Roman" w:eastAsia="仿宋_GB2312" w:hAnsi="Times New Roman" w:cs="Times New Roman"/>
          <w:sz w:val="32"/>
          <w:szCs w:val="32"/>
        </w:rPr>
        <w:t>2018</w:t>
      </w:r>
      <w:r w:rsidRPr="0018454A">
        <w:rPr>
          <w:rFonts w:ascii="Times New Roman" w:eastAsia="仿宋_GB2312" w:hAnsi="Times New Roman" w:cs="Times New Roman"/>
          <w:sz w:val="32"/>
          <w:szCs w:val="32"/>
        </w:rPr>
        <w:t>年底前须完成仿制药一致性评价的</w:t>
      </w:r>
      <w:r w:rsidRPr="0018454A">
        <w:rPr>
          <w:rFonts w:ascii="Times New Roman" w:eastAsia="仿宋_GB2312" w:hAnsi="Times New Roman" w:cs="Times New Roman"/>
          <w:sz w:val="32"/>
          <w:szCs w:val="32"/>
        </w:rPr>
        <w:t>289</w:t>
      </w:r>
      <w:r w:rsidRPr="0018454A">
        <w:rPr>
          <w:rFonts w:ascii="Times New Roman" w:eastAsia="仿宋_GB2312" w:hAnsi="Times New Roman" w:cs="Times New Roman"/>
          <w:sz w:val="32"/>
          <w:szCs w:val="32"/>
        </w:rPr>
        <w:t>个品</w:t>
      </w:r>
      <w:r w:rsidRPr="0018454A">
        <w:rPr>
          <w:rFonts w:ascii="Times New Roman" w:eastAsia="仿宋_GB2312" w:hAnsi="Times New Roman" w:cs="Times New Roman"/>
          <w:kern w:val="2"/>
          <w:sz w:val="32"/>
          <w:szCs w:val="32"/>
        </w:rPr>
        <w:t>种进行了梳理，首批选取了</w:t>
      </w:r>
      <w:r w:rsidRPr="0018454A">
        <w:rPr>
          <w:rFonts w:ascii="Times New Roman" w:eastAsia="仿宋_GB2312" w:hAnsi="Times New Roman" w:cs="Times New Roman"/>
          <w:kern w:val="2"/>
          <w:sz w:val="32"/>
          <w:szCs w:val="32"/>
        </w:rPr>
        <w:t>10</w:t>
      </w:r>
      <w:r w:rsidRPr="0018454A">
        <w:rPr>
          <w:rFonts w:ascii="Times New Roman" w:eastAsia="仿宋_GB2312" w:hAnsi="Times New Roman" w:cs="Times New Roman"/>
          <w:kern w:val="2"/>
          <w:sz w:val="32"/>
          <w:szCs w:val="32"/>
        </w:rPr>
        <w:t>个</w:t>
      </w:r>
      <w:r w:rsidRPr="0018454A">
        <w:rPr>
          <w:rFonts w:ascii="Times New Roman" w:eastAsia="仿宋_GB2312" w:hAnsi="Times New Roman" w:cs="Times New Roman"/>
          <w:sz w:val="32"/>
          <w:szCs w:val="32"/>
        </w:rPr>
        <w:t>使用年代较长、作用机制相对明确、不良反应较确切，且体内吸收甚低或不吸收的品种</w:t>
      </w:r>
      <w:r>
        <w:rPr>
          <w:rFonts w:ascii="Times New Roman" w:eastAsia="仿宋_GB2312" w:hAnsi="Times New Roman" w:cs="Times New Roman" w:hint="eastAsia"/>
          <w:sz w:val="32"/>
          <w:szCs w:val="32"/>
        </w:rPr>
        <w:t>（</w:t>
      </w:r>
      <w:r w:rsidRPr="0018454A">
        <w:rPr>
          <w:rFonts w:ascii="Times New Roman" w:eastAsia="仿宋_GB2312" w:hAnsi="Times New Roman" w:cs="Times New Roman"/>
          <w:sz w:val="32"/>
          <w:szCs w:val="32"/>
        </w:rPr>
        <w:t>胃肠道局部作用药物</w:t>
      </w:r>
      <w:r>
        <w:rPr>
          <w:rFonts w:ascii="Times New Roman" w:eastAsia="仿宋_GB2312" w:hAnsi="Times New Roman" w:cs="Times New Roman" w:hint="eastAsia"/>
          <w:sz w:val="32"/>
          <w:szCs w:val="32"/>
        </w:rPr>
        <w:t>）</w:t>
      </w:r>
      <w:r w:rsidRPr="0018454A">
        <w:rPr>
          <w:rFonts w:ascii="Times New Roman" w:eastAsia="仿宋_GB2312" w:hAnsi="Times New Roman" w:cs="Times New Roman"/>
          <w:sz w:val="32"/>
          <w:szCs w:val="32"/>
        </w:rPr>
        <w:t>、以溶液形式服用的药物</w:t>
      </w:r>
      <w:r>
        <w:rPr>
          <w:rFonts w:ascii="Times New Roman" w:eastAsia="仿宋_GB2312" w:hAnsi="Times New Roman" w:cs="Times New Roman" w:hint="eastAsia"/>
          <w:sz w:val="32"/>
          <w:szCs w:val="32"/>
        </w:rPr>
        <w:t>（</w:t>
      </w:r>
      <w:r w:rsidRPr="0018454A">
        <w:rPr>
          <w:rFonts w:ascii="Times New Roman" w:eastAsia="仿宋_GB2312" w:hAnsi="Times New Roman" w:cs="Times New Roman"/>
          <w:bCs/>
          <w:sz w:val="32"/>
          <w:szCs w:val="32"/>
        </w:rPr>
        <w:t>电解质平衡用药</w:t>
      </w:r>
      <w:r>
        <w:rPr>
          <w:rFonts w:ascii="Times New Roman" w:eastAsia="仿宋_GB2312" w:hAnsi="Times New Roman" w:cs="Times New Roman" w:hint="eastAsia"/>
          <w:sz w:val="32"/>
          <w:szCs w:val="32"/>
        </w:rPr>
        <w:t>）</w:t>
      </w:r>
      <w:r w:rsidRPr="0018454A">
        <w:rPr>
          <w:rFonts w:ascii="Times New Roman" w:eastAsia="仿宋_GB2312" w:hAnsi="Times New Roman" w:cs="Times New Roman"/>
          <w:sz w:val="32"/>
          <w:szCs w:val="32"/>
        </w:rPr>
        <w:t>,</w:t>
      </w:r>
      <w:r w:rsidRPr="0018454A">
        <w:rPr>
          <w:rFonts w:ascii="Times New Roman" w:eastAsia="仿宋_GB2312" w:hAnsi="Times New Roman" w:cs="Times New Roman"/>
          <w:sz w:val="32"/>
          <w:szCs w:val="32"/>
        </w:rPr>
        <w:t>且</w:t>
      </w:r>
      <w:r w:rsidRPr="0018454A">
        <w:rPr>
          <w:rFonts w:ascii="Times New Roman" w:eastAsia="仿宋_GB2312" w:hAnsi="Times New Roman" w:cs="Times New Roman"/>
          <w:kern w:val="2"/>
          <w:sz w:val="32"/>
          <w:szCs w:val="32"/>
        </w:rPr>
        <w:t>不适合开展以药动学参数为终点评价指标的人体生物等效性研究，</w:t>
      </w:r>
      <w:r w:rsidRPr="0018454A">
        <w:rPr>
          <w:rFonts w:ascii="Times New Roman" w:eastAsia="仿宋_GB2312" w:hAnsi="Times New Roman" w:cs="Times New Roman"/>
          <w:sz w:val="32"/>
          <w:szCs w:val="32"/>
        </w:rPr>
        <w:t>建议通过加强处方工艺、提高质量标准、增加针对性的评价指标等研究的方式，开展一致性评价</w:t>
      </w:r>
      <w:r w:rsidRPr="0018454A">
        <w:rPr>
          <w:rFonts w:ascii="Times New Roman" w:eastAsia="仿宋_GB2312" w:hAnsi="Times New Roman" w:cs="Times New Roman"/>
          <w:kern w:val="2"/>
          <w:sz w:val="32"/>
          <w:szCs w:val="32"/>
        </w:rPr>
        <w:t>。现将具体品种和应开展的药学研究重点内容公布如下：</w:t>
      </w:r>
    </w:p>
    <w:p w:rsidR="00203685" w:rsidRPr="0018454A" w:rsidRDefault="00203685" w:rsidP="00203685">
      <w:pPr>
        <w:pStyle w:val="p0"/>
        <w:widowControl w:val="0"/>
        <w:adjustRightInd w:val="0"/>
        <w:snapToGrid w:val="0"/>
        <w:spacing w:line="620" w:lineRule="exact"/>
        <w:ind w:firstLineChars="200" w:firstLine="640"/>
        <w:rPr>
          <w:rFonts w:ascii="Times New Roman" w:eastAsia="仿宋_GB2312" w:hAnsi="Times New Roman" w:cs="Times New Roman"/>
          <w:sz w:val="32"/>
          <w:szCs w:val="32"/>
        </w:rPr>
      </w:pPr>
      <w:r w:rsidRPr="0018454A">
        <w:rPr>
          <w:rFonts w:ascii="Times New Roman" w:eastAsia="仿宋_GB2312" w:hAnsi="Times New Roman" w:cs="Times New Roman"/>
          <w:kern w:val="2"/>
          <w:sz w:val="32"/>
          <w:szCs w:val="32"/>
        </w:rPr>
        <w:t>品种</w:t>
      </w:r>
      <w:r w:rsidRPr="0018454A">
        <w:rPr>
          <w:rFonts w:ascii="Times New Roman" w:eastAsia="仿宋_GB2312" w:hAnsi="Times New Roman" w:cs="Times New Roman"/>
          <w:sz w:val="32"/>
          <w:szCs w:val="32"/>
        </w:rPr>
        <w:t>可分为胃肠道局部作用药物和</w:t>
      </w:r>
      <w:r w:rsidRPr="0018454A">
        <w:rPr>
          <w:rFonts w:ascii="Times New Roman" w:eastAsia="仿宋_GB2312" w:hAnsi="Times New Roman" w:cs="Times New Roman"/>
          <w:bCs/>
          <w:sz w:val="32"/>
          <w:szCs w:val="32"/>
        </w:rPr>
        <w:t>电解质平衡用药两类，</w:t>
      </w:r>
      <w:r w:rsidRPr="0018454A">
        <w:rPr>
          <w:rFonts w:ascii="Times New Roman" w:eastAsia="仿宋_GB2312" w:hAnsi="Times New Roman" w:cs="Times New Roman"/>
          <w:kern w:val="2"/>
          <w:sz w:val="32"/>
          <w:szCs w:val="32"/>
        </w:rPr>
        <w:t>分</w:t>
      </w:r>
      <w:r w:rsidRPr="0018454A">
        <w:rPr>
          <w:rFonts w:ascii="Times New Roman" w:eastAsia="仿宋_GB2312" w:hAnsi="Times New Roman" w:cs="Times New Roman"/>
          <w:kern w:val="2"/>
          <w:sz w:val="32"/>
          <w:szCs w:val="32"/>
        </w:rPr>
        <w:lastRenderedPageBreak/>
        <w:t>别为碳酸氢钠片、胶体果胶铋胶囊、枸橼酸铋钾颗粒、枸橼酸铋钾胶囊、枸橼酸铋钾片、蒙脱石散、聚乙二醇</w:t>
      </w:r>
      <w:r w:rsidRPr="0018454A">
        <w:rPr>
          <w:rFonts w:ascii="Times New Roman" w:eastAsia="仿宋_GB2312" w:hAnsi="Times New Roman" w:cs="Times New Roman"/>
          <w:kern w:val="2"/>
          <w:sz w:val="32"/>
          <w:szCs w:val="32"/>
        </w:rPr>
        <w:t>4000</w:t>
      </w:r>
      <w:r w:rsidRPr="0018454A">
        <w:rPr>
          <w:rFonts w:ascii="Times New Roman" w:eastAsia="仿宋_GB2312" w:hAnsi="Times New Roman" w:cs="Times New Roman"/>
          <w:kern w:val="2"/>
          <w:sz w:val="32"/>
          <w:szCs w:val="32"/>
        </w:rPr>
        <w:t>散、口服补液盐散</w:t>
      </w:r>
      <w:r>
        <w:rPr>
          <w:rFonts w:ascii="Times New Roman" w:eastAsia="仿宋_GB2312" w:hAnsi="Times New Roman" w:cs="Times New Roman" w:hint="eastAsia"/>
          <w:kern w:val="2"/>
          <w:sz w:val="32"/>
          <w:szCs w:val="32"/>
        </w:rPr>
        <w:t>（</w:t>
      </w:r>
      <w:r w:rsidRPr="0018454A">
        <w:rPr>
          <w:rFonts w:ascii="宋体" w:hAnsi="宋体" w:hint="eastAsia"/>
          <w:kern w:val="2"/>
          <w:sz w:val="32"/>
          <w:szCs w:val="32"/>
        </w:rPr>
        <w:t>Ⅰ</w:t>
      </w:r>
      <w:r>
        <w:rPr>
          <w:rFonts w:ascii="Times New Roman" w:eastAsia="仿宋_GB2312" w:hAnsi="Times New Roman" w:cs="Times New Roman" w:hint="eastAsia"/>
          <w:kern w:val="2"/>
          <w:sz w:val="32"/>
          <w:szCs w:val="32"/>
        </w:rPr>
        <w:t>）</w:t>
      </w:r>
      <w:r w:rsidRPr="0018454A">
        <w:rPr>
          <w:rFonts w:ascii="Times New Roman" w:eastAsia="仿宋_GB2312" w:hAnsi="Times New Roman" w:cs="Times New Roman"/>
          <w:kern w:val="2"/>
          <w:sz w:val="32"/>
          <w:szCs w:val="32"/>
        </w:rPr>
        <w:t>、口服补液盐散</w:t>
      </w:r>
      <w:r>
        <w:rPr>
          <w:rFonts w:ascii="Times New Roman" w:eastAsia="仿宋_GB2312" w:hAnsi="Times New Roman" w:cs="Times New Roman" w:hint="eastAsia"/>
          <w:kern w:val="2"/>
          <w:sz w:val="32"/>
          <w:szCs w:val="32"/>
        </w:rPr>
        <w:t>（</w:t>
      </w:r>
      <w:r w:rsidRPr="0018454A">
        <w:rPr>
          <w:rFonts w:ascii="宋体" w:hAnsi="宋体" w:hint="eastAsia"/>
          <w:kern w:val="2"/>
          <w:sz w:val="32"/>
          <w:szCs w:val="32"/>
        </w:rPr>
        <w:t>Ⅱ</w:t>
      </w:r>
      <w:r>
        <w:rPr>
          <w:rFonts w:ascii="Times New Roman" w:eastAsia="仿宋_GB2312" w:hAnsi="Times New Roman" w:cs="Times New Roman" w:hint="eastAsia"/>
          <w:kern w:val="2"/>
          <w:sz w:val="32"/>
          <w:szCs w:val="32"/>
        </w:rPr>
        <w:t>）</w:t>
      </w:r>
      <w:r w:rsidRPr="0018454A">
        <w:rPr>
          <w:rFonts w:ascii="Times New Roman" w:eastAsia="仿宋_GB2312" w:hAnsi="Times New Roman" w:cs="Times New Roman"/>
          <w:kern w:val="2"/>
          <w:sz w:val="32"/>
          <w:szCs w:val="32"/>
        </w:rPr>
        <w:t>、酚酞片</w:t>
      </w:r>
      <w:r w:rsidRPr="0018454A">
        <w:rPr>
          <w:rFonts w:ascii="Times New Roman" w:eastAsia="仿宋_GB2312" w:hAnsi="Times New Roman" w:cs="Times New Roman"/>
          <w:bCs/>
          <w:color w:val="000000"/>
          <w:sz w:val="32"/>
          <w:szCs w:val="32"/>
        </w:rPr>
        <w:t>。</w:t>
      </w:r>
    </w:p>
    <w:p w:rsidR="00203685" w:rsidRPr="0018454A" w:rsidRDefault="00203685" w:rsidP="00203685">
      <w:pPr>
        <w:adjustRightInd w:val="0"/>
        <w:snapToGrid w:val="0"/>
        <w:spacing w:line="620" w:lineRule="exact"/>
        <w:ind w:firstLineChars="200" w:firstLine="640"/>
        <w:rPr>
          <w:rFonts w:eastAsia="仿宋_GB2312"/>
          <w:sz w:val="32"/>
          <w:szCs w:val="32"/>
        </w:rPr>
      </w:pPr>
      <w:r w:rsidRPr="0018454A">
        <w:rPr>
          <w:rFonts w:eastAsia="仿宋_GB2312"/>
          <w:sz w:val="32"/>
          <w:szCs w:val="32"/>
        </w:rPr>
        <w:t>（一）胃肠道局部作用药物</w:t>
      </w:r>
    </w:p>
    <w:p w:rsidR="00203685" w:rsidRPr="0018454A" w:rsidRDefault="00203685" w:rsidP="00203685">
      <w:pPr>
        <w:adjustRightInd w:val="0"/>
        <w:snapToGrid w:val="0"/>
        <w:spacing w:line="620" w:lineRule="exact"/>
        <w:ind w:firstLineChars="200" w:firstLine="640"/>
        <w:rPr>
          <w:rFonts w:eastAsia="仿宋_GB2312"/>
          <w:sz w:val="32"/>
          <w:szCs w:val="32"/>
        </w:rPr>
      </w:pPr>
      <w:r w:rsidRPr="0018454A">
        <w:rPr>
          <w:rFonts w:eastAsia="仿宋_GB2312"/>
          <w:sz w:val="32"/>
          <w:szCs w:val="32"/>
        </w:rPr>
        <w:t>1</w:t>
      </w:r>
      <w:r w:rsidRPr="0018454A">
        <w:rPr>
          <w:rFonts w:eastAsia="仿宋_GB2312"/>
          <w:sz w:val="32"/>
          <w:szCs w:val="32"/>
        </w:rPr>
        <w:t>．铋剂，包括枸橼酸铋钾颗粒、枸橼酸铋钾胶囊、枸橼酸铋钾片和胶体果胶铋胶囊。铋剂的临床作用机理是</w:t>
      </w:r>
      <w:r w:rsidRPr="0018454A">
        <w:rPr>
          <w:rFonts w:eastAsia="仿宋_GB2312"/>
          <w:color w:val="000000"/>
          <w:kern w:val="0"/>
          <w:sz w:val="32"/>
          <w:szCs w:val="32"/>
        </w:rPr>
        <w:t>在胃酸环境中形成弥散性保护层或</w:t>
      </w:r>
      <w:r w:rsidRPr="0018454A">
        <w:rPr>
          <w:rFonts w:eastAsia="仿宋_GB2312"/>
          <w:kern w:val="0"/>
          <w:sz w:val="32"/>
          <w:szCs w:val="32"/>
        </w:rPr>
        <w:t>凝胶体</w:t>
      </w:r>
      <w:r w:rsidRPr="0018454A">
        <w:rPr>
          <w:rFonts w:eastAsia="仿宋_GB2312"/>
          <w:color w:val="000000"/>
          <w:kern w:val="0"/>
          <w:sz w:val="32"/>
          <w:szCs w:val="32"/>
        </w:rPr>
        <w:t>覆盖于溃疡面上</w:t>
      </w:r>
      <w:r w:rsidRPr="0018454A">
        <w:rPr>
          <w:rFonts w:eastAsia="仿宋_GB2312"/>
          <w:kern w:val="0"/>
          <w:sz w:val="32"/>
          <w:szCs w:val="32"/>
        </w:rPr>
        <w:t>，从而起到保护胃粘膜、促进黏膜修复作用</w:t>
      </w:r>
      <w:r w:rsidRPr="0018454A">
        <w:rPr>
          <w:rFonts w:eastAsia="仿宋_GB2312"/>
          <w:sz w:val="32"/>
          <w:szCs w:val="32"/>
        </w:rPr>
        <w:t>。对于此类品种的一致性评价工作，应重点关注以下几方面：</w:t>
      </w:r>
      <w:r>
        <w:rPr>
          <w:rFonts w:eastAsia="仿宋_GB2312" w:hint="eastAsia"/>
          <w:sz w:val="32"/>
          <w:szCs w:val="32"/>
        </w:rPr>
        <w:t>（</w:t>
      </w:r>
      <w:r w:rsidRPr="0018454A">
        <w:rPr>
          <w:rFonts w:eastAsia="仿宋_GB2312"/>
          <w:sz w:val="32"/>
          <w:szCs w:val="32"/>
        </w:rPr>
        <w:t>1</w:t>
      </w:r>
      <w:r>
        <w:rPr>
          <w:rFonts w:eastAsia="仿宋_GB2312" w:hint="eastAsia"/>
          <w:sz w:val="32"/>
          <w:szCs w:val="32"/>
        </w:rPr>
        <w:t>）</w:t>
      </w:r>
      <w:r w:rsidRPr="0018454A">
        <w:rPr>
          <w:rFonts w:eastAsia="仿宋_GB2312"/>
          <w:sz w:val="32"/>
          <w:szCs w:val="32"/>
        </w:rPr>
        <w:t>鉴于过量铋盐已知的毒副作用，应在现有原料药和制剂的质量标准中增加游离铋盐的限度控制</w:t>
      </w:r>
      <w:r>
        <w:rPr>
          <w:rFonts w:eastAsia="仿宋_GB2312" w:hint="eastAsia"/>
          <w:sz w:val="32"/>
          <w:szCs w:val="32"/>
        </w:rPr>
        <w:t>；（</w:t>
      </w:r>
      <w:r w:rsidRPr="0018454A">
        <w:rPr>
          <w:rFonts w:eastAsia="仿宋_GB2312"/>
          <w:sz w:val="32"/>
          <w:szCs w:val="32"/>
        </w:rPr>
        <w:t>2</w:t>
      </w:r>
      <w:r>
        <w:rPr>
          <w:rFonts w:eastAsia="仿宋_GB2312" w:hint="eastAsia"/>
          <w:sz w:val="32"/>
          <w:szCs w:val="32"/>
        </w:rPr>
        <w:t>）</w:t>
      </w:r>
      <w:r w:rsidRPr="0018454A">
        <w:rPr>
          <w:rFonts w:eastAsia="仿宋_GB2312"/>
          <w:sz w:val="32"/>
          <w:szCs w:val="32"/>
        </w:rPr>
        <w:t>应通过体内</w:t>
      </w:r>
      <w:r w:rsidRPr="0018454A">
        <w:rPr>
          <w:rFonts w:eastAsia="仿宋_GB2312"/>
          <w:color w:val="000000"/>
          <w:kern w:val="0"/>
          <w:sz w:val="32"/>
          <w:szCs w:val="32"/>
        </w:rPr>
        <w:t>药物代谢动力学</w:t>
      </w:r>
      <w:r w:rsidRPr="0018454A">
        <w:rPr>
          <w:rFonts w:eastAsia="仿宋_GB2312"/>
          <w:sz w:val="32"/>
          <w:szCs w:val="32"/>
        </w:rPr>
        <w:t>试验检测血液中铋盐浓度是否超过安全限度；</w:t>
      </w:r>
      <w:r>
        <w:rPr>
          <w:rFonts w:eastAsia="仿宋_GB2312" w:hint="eastAsia"/>
          <w:sz w:val="32"/>
          <w:szCs w:val="32"/>
        </w:rPr>
        <w:t>（</w:t>
      </w:r>
      <w:r w:rsidRPr="0018454A">
        <w:rPr>
          <w:rFonts w:eastAsia="仿宋_GB2312"/>
          <w:sz w:val="32"/>
          <w:szCs w:val="32"/>
        </w:rPr>
        <w:t>3</w:t>
      </w:r>
      <w:r>
        <w:rPr>
          <w:rFonts w:eastAsia="仿宋_GB2312" w:hint="eastAsia"/>
          <w:sz w:val="32"/>
          <w:szCs w:val="32"/>
        </w:rPr>
        <w:t>）</w:t>
      </w:r>
      <w:r w:rsidRPr="0018454A">
        <w:rPr>
          <w:rFonts w:eastAsia="仿宋_GB2312"/>
          <w:sz w:val="32"/>
          <w:szCs w:val="32"/>
        </w:rPr>
        <w:t>根据铋剂的作用机制，可在人工胃液中的黏度、胶体稳定性等方面对其进行体外评价研究。</w:t>
      </w:r>
    </w:p>
    <w:p w:rsidR="00203685" w:rsidRPr="0018454A" w:rsidRDefault="00203685" w:rsidP="00203685">
      <w:pPr>
        <w:adjustRightInd w:val="0"/>
        <w:snapToGrid w:val="0"/>
        <w:spacing w:line="620" w:lineRule="exact"/>
        <w:ind w:firstLineChars="200" w:firstLine="640"/>
        <w:rPr>
          <w:rFonts w:eastAsia="仿宋_GB2312"/>
          <w:sz w:val="32"/>
          <w:szCs w:val="32"/>
        </w:rPr>
      </w:pPr>
      <w:r w:rsidRPr="0018454A">
        <w:rPr>
          <w:rFonts w:eastAsia="仿宋_GB2312"/>
          <w:sz w:val="32"/>
          <w:szCs w:val="32"/>
        </w:rPr>
        <w:t>2</w:t>
      </w:r>
      <w:r w:rsidRPr="0018454A">
        <w:rPr>
          <w:rFonts w:eastAsia="仿宋_GB2312"/>
          <w:sz w:val="32"/>
          <w:szCs w:val="32"/>
        </w:rPr>
        <w:t>．蒙脱石散，原料药为自然界矿石，其</w:t>
      </w:r>
      <w:r w:rsidRPr="0018454A">
        <w:rPr>
          <w:rFonts w:eastAsia="仿宋_GB2312"/>
          <w:color w:val="000000"/>
          <w:kern w:val="0"/>
          <w:sz w:val="32"/>
          <w:szCs w:val="32"/>
        </w:rPr>
        <w:t>具有多孔性、层纹状结构及非均匀性电荷分布。通过对消化道内的病毒、病菌及其产生的毒素的吸附、抑制，起到缓解腹泻的治疗效果。本品在体内不吸收，最终连同所吸附的各种有毒物随消化道自身蠕动全部排出体外</w:t>
      </w:r>
      <w:r w:rsidRPr="0018454A">
        <w:rPr>
          <w:rFonts w:eastAsia="仿宋_GB2312"/>
          <w:sz w:val="32"/>
          <w:szCs w:val="32"/>
        </w:rPr>
        <w:t>。对于蒙脱石散的一致性评价工作，应重点关注以下几方面：</w:t>
      </w:r>
      <w:r>
        <w:rPr>
          <w:rFonts w:eastAsia="仿宋_GB2312" w:hint="eastAsia"/>
          <w:sz w:val="32"/>
          <w:szCs w:val="32"/>
        </w:rPr>
        <w:t>（</w:t>
      </w:r>
      <w:r w:rsidRPr="0018454A">
        <w:rPr>
          <w:rFonts w:eastAsia="仿宋_GB2312"/>
          <w:sz w:val="32"/>
          <w:szCs w:val="32"/>
        </w:rPr>
        <w:t>1</w:t>
      </w:r>
      <w:r>
        <w:rPr>
          <w:rFonts w:eastAsia="仿宋_GB2312" w:hint="eastAsia"/>
          <w:sz w:val="32"/>
          <w:szCs w:val="32"/>
        </w:rPr>
        <w:t>）</w:t>
      </w:r>
      <w:r w:rsidRPr="0018454A">
        <w:rPr>
          <w:rFonts w:eastAsia="仿宋_GB2312"/>
          <w:sz w:val="32"/>
          <w:szCs w:val="32"/>
        </w:rPr>
        <w:t>应对本品的粒度、吸附力、方英石及其他杂质、有害元素</w:t>
      </w:r>
      <w:r w:rsidRPr="0018454A">
        <w:rPr>
          <w:rFonts w:eastAsia="仿宋_GB2312"/>
          <w:sz w:val="32"/>
          <w:szCs w:val="32"/>
        </w:rPr>
        <w:t>—</w:t>
      </w:r>
      <w:r w:rsidRPr="0018454A">
        <w:rPr>
          <w:rFonts w:eastAsia="仿宋_GB2312"/>
          <w:sz w:val="32"/>
          <w:szCs w:val="32"/>
        </w:rPr>
        <w:t>重金属</w:t>
      </w:r>
      <w:r>
        <w:rPr>
          <w:rFonts w:eastAsia="仿宋_GB2312" w:hint="eastAsia"/>
          <w:sz w:val="32"/>
          <w:szCs w:val="32"/>
        </w:rPr>
        <w:t>（</w:t>
      </w:r>
      <w:r w:rsidRPr="0018454A">
        <w:rPr>
          <w:rFonts w:eastAsia="仿宋_GB2312"/>
          <w:sz w:val="32"/>
          <w:szCs w:val="32"/>
        </w:rPr>
        <w:t>砷、铅</w:t>
      </w:r>
      <w:r>
        <w:rPr>
          <w:rFonts w:eastAsia="仿宋_GB2312" w:hint="eastAsia"/>
          <w:sz w:val="32"/>
          <w:szCs w:val="32"/>
        </w:rPr>
        <w:t>）</w:t>
      </w:r>
      <w:r w:rsidRPr="0018454A">
        <w:rPr>
          <w:rFonts w:eastAsia="仿宋_GB2312"/>
          <w:sz w:val="32"/>
          <w:szCs w:val="32"/>
        </w:rPr>
        <w:t>等方面进行研究，并适当增加控制指标</w:t>
      </w:r>
      <w:r w:rsidRPr="0018454A">
        <w:rPr>
          <w:rFonts w:eastAsia="仿宋_GB2312"/>
          <w:sz w:val="32"/>
          <w:szCs w:val="32"/>
        </w:rPr>
        <w:t>,</w:t>
      </w:r>
      <w:r w:rsidRPr="0018454A">
        <w:rPr>
          <w:rFonts w:eastAsia="仿宋_GB2312"/>
          <w:sz w:val="32"/>
          <w:szCs w:val="32"/>
        </w:rPr>
        <w:t>特别是体现其吸附能力的重要参数，如比表面积；</w:t>
      </w:r>
      <w:r>
        <w:rPr>
          <w:rFonts w:eastAsia="仿宋_GB2312" w:hint="eastAsia"/>
          <w:sz w:val="32"/>
          <w:szCs w:val="32"/>
        </w:rPr>
        <w:t>（</w:t>
      </w:r>
      <w:r w:rsidRPr="0018454A">
        <w:rPr>
          <w:rFonts w:eastAsia="仿宋_GB2312"/>
          <w:sz w:val="32"/>
          <w:szCs w:val="32"/>
        </w:rPr>
        <w:t>2</w:t>
      </w:r>
      <w:r>
        <w:rPr>
          <w:rFonts w:eastAsia="仿宋_GB2312" w:hint="eastAsia"/>
          <w:sz w:val="32"/>
          <w:szCs w:val="32"/>
        </w:rPr>
        <w:t>）</w:t>
      </w:r>
      <w:r w:rsidRPr="0018454A">
        <w:rPr>
          <w:rFonts w:eastAsia="仿宋_GB2312"/>
          <w:sz w:val="32"/>
          <w:szCs w:val="32"/>
        </w:rPr>
        <w:t>本品的沉</w:t>
      </w:r>
      <w:r w:rsidRPr="0018454A">
        <w:rPr>
          <w:rFonts w:eastAsia="仿宋_GB2312"/>
          <w:sz w:val="32"/>
          <w:szCs w:val="32"/>
        </w:rPr>
        <w:lastRenderedPageBreak/>
        <w:t>降速度较快，为保证制剂服用完全，可考虑在质量标准中增加沉降体积比的指标对其进行控制。</w:t>
      </w:r>
    </w:p>
    <w:p w:rsidR="00203685" w:rsidRPr="0018454A" w:rsidRDefault="00203685" w:rsidP="00203685">
      <w:pPr>
        <w:adjustRightInd w:val="0"/>
        <w:snapToGrid w:val="0"/>
        <w:spacing w:line="600" w:lineRule="exact"/>
        <w:ind w:firstLineChars="200" w:firstLine="640"/>
        <w:rPr>
          <w:rFonts w:eastAsia="仿宋_GB2312"/>
          <w:sz w:val="32"/>
          <w:szCs w:val="32"/>
        </w:rPr>
      </w:pPr>
      <w:r w:rsidRPr="0018454A">
        <w:rPr>
          <w:rFonts w:eastAsia="仿宋_GB2312"/>
          <w:sz w:val="32"/>
          <w:szCs w:val="32"/>
        </w:rPr>
        <w:t>3</w:t>
      </w:r>
      <w:r w:rsidRPr="0018454A">
        <w:rPr>
          <w:rFonts w:eastAsia="仿宋_GB2312"/>
          <w:sz w:val="32"/>
          <w:szCs w:val="32"/>
        </w:rPr>
        <w:t>．聚乙二醇</w:t>
      </w:r>
      <w:r w:rsidRPr="0018454A">
        <w:rPr>
          <w:rFonts w:eastAsia="仿宋_GB2312"/>
          <w:sz w:val="32"/>
          <w:szCs w:val="32"/>
        </w:rPr>
        <w:t>4000</w:t>
      </w:r>
      <w:r w:rsidRPr="0018454A">
        <w:rPr>
          <w:rFonts w:eastAsia="仿宋_GB2312"/>
          <w:sz w:val="32"/>
          <w:szCs w:val="32"/>
        </w:rPr>
        <w:t>散，</w:t>
      </w:r>
      <w:r w:rsidRPr="0018454A">
        <w:rPr>
          <w:rFonts w:eastAsia="仿宋_GB2312"/>
          <w:color w:val="000000"/>
          <w:kern w:val="0"/>
          <w:sz w:val="32"/>
          <w:szCs w:val="32"/>
        </w:rPr>
        <w:t>通过氢键固定水分子，使肠内粪便含水量增加，从而缓解成人和</w:t>
      </w:r>
      <w:r w:rsidRPr="0018454A">
        <w:rPr>
          <w:rFonts w:eastAsia="仿宋_GB2312"/>
          <w:color w:val="000000"/>
          <w:kern w:val="0"/>
          <w:sz w:val="32"/>
          <w:szCs w:val="32"/>
        </w:rPr>
        <w:t>8</w:t>
      </w:r>
      <w:r w:rsidRPr="0018454A">
        <w:rPr>
          <w:rFonts w:eastAsia="仿宋_GB2312"/>
          <w:color w:val="000000"/>
          <w:kern w:val="0"/>
          <w:sz w:val="32"/>
          <w:szCs w:val="32"/>
        </w:rPr>
        <w:t>岁以上儿童便秘症状。药物代谢动力学研究证实</w:t>
      </w:r>
      <w:r w:rsidRPr="0018454A">
        <w:rPr>
          <w:rFonts w:eastAsia="仿宋_GB2312"/>
          <w:sz w:val="32"/>
          <w:szCs w:val="32"/>
        </w:rPr>
        <w:t>聚乙二醇</w:t>
      </w:r>
      <w:r w:rsidRPr="0018454A">
        <w:rPr>
          <w:rFonts w:eastAsia="仿宋_GB2312"/>
          <w:sz w:val="32"/>
          <w:szCs w:val="32"/>
        </w:rPr>
        <w:t>4000</w:t>
      </w:r>
      <w:r w:rsidRPr="0018454A">
        <w:rPr>
          <w:rFonts w:eastAsia="仿宋_GB2312"/>
          <w:sz w:val="32"/>
          <w:szCs w:val="32"/>
        </w:rPr>
        <w:t>在</w:t>
      </w:r>
      <w:r w:rsidRPr="0018454A">
        <w:rPr>
          <w:rFonts w:eastAsia="仿宋_GB2312"/>
          <w:color w:val="000000"/>
          <w:kern w:val="0"/>
          <w:sz w:val="32"/>
          <w:szCs w:val="32"/>
        </w:rPr>
        <w:t>体内不吸收，以原药形式排出体外</w:t>
      </w:r>
      <w:r w:rsidRPr="0018454A">
        <w:rPr>
          <w:rFonts w:eastAsia="仿宋_GB2312"/>
          <w:sz w:val="32"/>
          <w:szCs w:val="32"/>
        </w:rPr>
        <w:t>。对于聚乙二醇</w:t>
      </w:r>
      <w:r w:rsidRPr="0018454A">
        <w:rPr>
          <w:rFonts w:eastAsia="仿宋_GB2312"/>
          <w:sz w:val="32"/>
          <w:szCs w:val="32"/>
        </w:rPr>
        <w:t>4000</w:t>
      </w:r>
      <w:r w:rsidRPr="0018454A">
        <w:rPr>
          <w:rFonts w:eastAsia="仿宋_GB2312"/>
          <w:sz w:val="32"/>
          <w:szCs w:val="32"/>
        </w:rPr>
        <w:t>散的一致性评价工作，应参考进口注册标准和国外类似品种的标准对其质量标准提高，重点关注平均分子量、</w:t>
      </w:r>
      <w:r w:rsidRPr="0018454A">
        <w:rPr>
          <w:rFonts w:eastAsia="仿宋_GB2312"/>
          <w:color w:val="000000"/>
          <w:kern w:val="0"/>
          <w:sz w:val="32"/>
          <w:szCs w:val="32"/>
        </w:rPr>
        <w:t>乙二醇与二甘醇、含量等，特别是对</w:t>
      </w:r>
      <w:r w:rsidRPr="0018454A">
        <w:rPr>
          <w:rFonts w:eastAsia="仿宋_GB2312"/>
          <w:sz w:val="32"/>
          <w:szCs w:val="32"/>
        </w:rPr>
        <w:t>分子量分布的控制，以保证分子量在较小的范围内波动。</w:t>
      </w:r>
    </w:p>
    <w:p w:rsidR="00203685" w:rsidRPr="0018454A" w:rsidRDefault="00203685" w:rsidP="00203685">
      <w:pPr>
        <w:adjustRightInd w:val="0"/>
        <w:snapToGrid w:val="0"/>
        <w:spacing w:line="600" w:lineRule="exact"/>
        <w:ind w:firstLineChars="200" w:firstLine="640"/>
        <w:rPr>
          <w:rFonts w:eastAsia="仿宋_GB2312"/>
          <w:sz w:val="32"/>
          <w:szCs w:val="32"/>
        </w:rPr>
      </w:pPr>
      <w:r w:rsidRPr="0018454A">
        <w:rPr>
          <w:rFonts w:eastAsia="仿宋_GB2312"/>
          <w:color w:val="000000"/>
          <w:kern w:val="0"/>
          <w:sz w:val="32"/>
          <w:szCs w:val="32"/>
        </w:rPr>
        <w:t>4</w:t>
      </w:r>
      <w:r w:rsidRPr="0018454A">
        <w:rPr>
          <w:rFonts w:eastAsia="仿宋_GB2312"/>
          <w:sz w:val="32"/>
          <w:szCs w:val="32"/>
        </w:rPr>
        <w:t>．</w:t>
      </w:r>
      <w:r w:rsidRPr="0018454A">
        <w:rPr>
          <w:rFonts w:eastAsia="仿宋_GB2312"/>
          <w:color w:val="000000"/>
          <w:kern w:val="0"/>
          <w:sz w:val="32"/>
          <w:szCs w:val="32"/>
        </w:rPr>
        <w:t>酚酞片，</w:t>
      </w:r>
      <w:r w:rsidRPr="0018454A">
        <w:rPr>
          <w:rFonts w:eastAsia="仿宋_GB2312"/>
          <w:bCs/>
          <w:kern w:val="0"/>
          <w:sz w:val="32"/>
          <w:szCs w:val="32"/>
        </w:rPr>
        <w:t>主要作用于结肠</w:t>
      </w:r>
      <w:r w:rsidRPr="0018454A">
        <w:rPr>
          <w:rFonts w:eastAsia="仿宋_GB2312"/>
          <w:bCs/>
          <w:color w:val="000000"/>
          <w:kern w:val="0"/>
          <w:sz w:val="32"/>
          <w:szCs w:val="32"/>
        </w:rPr>
        <w:t>，通过刺激肠壁内神经使肠蠕动增加，同时可抑制水分吸收，从而达到产生缓泻的治疗效果</w:t>
      </w:r>
      <w:r w:rsidRPr="0018454A">
        <w:rPr>
          <w:rFonts w:eastAsia="仿宋_GB2312"/>
          <w:color w:val="000000"/>
          <w:kern w:val="0"/>
          <w:sz w:val="32"/>
          <w:szCs w:val="32"/>
        </w:rPr>
        <w:t>,</w:t>
      </w:r>
      <w:r w:rsidRPr="0018454A">
        <w:rPr>
          <w:rFonts w:eastAsia="仿宋_GB2312"/>
          <w:color w:val="000000"/>
          <w:kern w:val="0"/>
          <w:sz w:val="32"/>
          <w:szCs w:val="32"/>
        </w:rPr>
        <w:t>本品在</w:t>
      </w:r>
      <w:r w:rsidRPr="0018454A">
        <w:rPr>
          <w:rFonts w:eastAsia="仿宋_GB2312"/>
          <w:sz w:val="32"/>
          <w:szCs w:val="32"/>
        </w:rPr>
        <w:t>体内吸收较低。对于酚酞片的一致性评价工作，应重点关注质量标准的提高</w:t>
      </w:r>
      <w:r w:rsidRPr="0018454A">
        <w:rPr>
          <w:rFonts w:eastAsia="仿宋_GB2312"/>
          <w:sz w:val="32"/>
          <w:szCs w:val="32"/>
        </w:rPr>
        <w:t>,</w:t>
      </w:r>
      <w:r w:rsidRPr="0018454A">
        <w:rPr>
          <w:rFonts w:eastAsia="仿宋_GB2312"/>
          <w:sz w:val="32"/>
          <w:szCs w:val="32"/>
        </w:rPr>
        <w:t>特别是增加对杂质</w:t>
      </w:r>
      <w:r>
        <w:rPr>
          <w:rFonts w:eastAsia="仿宋_GB2312" w:hint="eastAsia"/>
          <w:sz w:val="32"/>
          <w:szCs w:val="32"/>
        </w:rPr>
        <w:t>（</w:t>
      </w:r>
      <w:r w:rsidRPr="0018454A">
        <w:rPr>
          <w:rFonts w:eastAsia="仿宋_GB2312"/>
          <w:sz w:val="32"/>
          <w:szCs w:val="32"/>
        </w:rPr>
        <w:t>如</w:t>
      </w:r>
      <w:r>
        <w:rPr>
          <w:rFonts w:eastAsia="仿宋_GB2312" w:hint="eastAsia"/>
          <w:sz w:val="32"/>
          <w:szCs w:val="32"/>
        </w:rPr>
        <w:t>：</w:t>
      </w:r>
      <w:r w:rsidRPr="0018454A">
        <w:rPr>
          <w:rFonts w:eastAsia="仿宋_GB2312"/>
          <w:sz w:val="32"/>
          <w:szCs w:val="32"/>
        </w:rPr>
        <w:t>荧光母素</w:t>
      </w:r>
      <w:r>
        <w:rPr>
          <w:rFonts w:eastAsia="仿宋_GB2312" w:hint="eastAsia"/>
          <w:sz w:val="32"/>
          <w:szCs w:val="32"/>
        </w:rPr>
        <w:t>）</w:t>
      </w:r>
      <w:r w:rsidRPr="0018454A">
        <w:rPr>
          <w:rFonts w:eastAsia="仿宋_GB2312"/>
          <w:sz w:val="32"/>
          <w:szCs w:val="32"/>
        </w:rPr>
        <w:t>的控制</w:t>
      </w:r>
      <w:r w:rsidRPr="0018454A">
        <w:rPr>
          <w:rFonts w:eastAsia="仿宋_GB2312"/>
          <w:sz w:val="32"/>
          <w:szCs w:val="32"/>
        </w:rPr>
        <w:t>,</w:t>
      </w:r>
      <w:r w:rsidRPr="0018454A">
        <w:rPr>
          <w:rFonts w:eastAsia="仿宋_GB2312"/>
          <w:sz w:val="32"/>
          <w:szCs w:val="32"/>
        </w:rPr>
        <w:t>建立灵敏度高、专属性强的有关物质检查和含量测定方法。</w:t>
      </w:r>
    </w:p>
    <w:p w:rsidR="00203685" w:rsidRPr="0018454A" w:rsidRDefault="00203685" w:rsidP="00203685">
      <w:pPr>
        <w:adjustRightInd w:val="0"/>
        <w:snapToGrid w:val="0"/>
        <w:spacing w:line="600" w:lineRule="exact"/>
        <w:ind w:firstLineChars="200" w:firstLine="640"/>
        <w:rPr>
          <w:rFonts w:eastAsia="仿宋_GB2312"/>
          <w:sz w:val="32"/>
          <w:szCs w:val="32"/>
        </w:rPr>
      </w:pPr>
      <w:r w:rsidRPr="0018454A">
        <w:rPr>
          <w:rFonts w:eastAsia="仿宋_GB2312"/>
          <w:sz w:val="32"/>
          <w:szCs w:val="32"/>
        </w:rPr>
        <w:t>5</w:t>
      </w:r>
      <w:r w:rsidRPr="0018454A">
        <w:rPr>
          <w:rFonts w:eastAsia="仿宋_GB2312"/>
          <w:sz w:val="32"/>
          <w:szCs w:val="32"/>
        </w:rPr>
        <w:t>．碳酸氢钠片，临床上用于中和胃酸，其在胃中迅速溶解并与胃酸反应，生成二氧化碳和水，体内基本无吸收。对于碳酸氢钠片的一致性评价工作，应重点提高其质量标准</w:t>
      </w:r>
      <w:r w:rsidRPr="0018454A">
        <w:rPr>
          <w:rFonts w:eastAsia="仿宋_GB2312"/>
          <w:sz w:val="32"/>
          <w:szCs w:val="32"/>
        </w:rPr>
        <w:t>,</w:t>
      </w:r>
      <w:r w:rsidRPr="0018454A">
        <w:rPr>
          <w:rFonts w:eastAsia="仿宋_GB2312"/>
          <w:sz w:val="32"/>
          <w:szCs w:val="32"/>
        </w:rPr>
        <w:t>关注碳酸氢钠片在人工胃液中的崩解时限，建立专属性强的含量测定方法。</w:t>
      </w:r>
    </w:p>
    <w:p w:rsidR="00203685" w:rsidRPr="0018454A" w:rsidRDefault="00203685" w:rsidP="00203685">
      <w:pPr>
        <w:adjustRightInd w:val="0"/>
        <w:snapToGrid w:val="0"/>
        <w:spacing w:line="600" w:lineRule="exact"/>
        <w:ind w:firstLineChars="200" w:firstLine="640"/>
        <w:rPr>
          <w:rFonts w:eastAsia="仿宋_GB2312"/>
          <w:bCs/>
          <w:color w:val="000000"/>
          <w:kern w:val="0"/>
          <w:sz w:val="32"/>
          <w:szCs w:val="32"/>
        </w:rPr>
      </w:pPr>
      <w:r w:rsidRPr="0018454A">
        <w:rPr>
          <w:rFonts w:eastAsia="仿宋_GB2312"/>
          <w:sz w:val="32"/>
          <w:szCs w:val="32"/>
        </w:rPr>
        <w:t>（二）</w:t>
      </w:r>
      <w:r w:rsidRPr="0018454A">
        <w:rPr>
          <w:rFonts w:eastAsia="仿宋_GB2312"/>
          <w:bCs/>
          <w:color w:val="000000"/>
          <w:kern w:val="0"/>
          <w:sz w:val="32"/>
          <w:szCs w:val="32"/>
        </w:rPr>
        <w:t>电解质平衡用药</w:t>
      </w:r>
    </w:p>
    <w:p w:rsidR="00203685" w:rsidRPr="0018454A" w:rsidRDefault="00203685" w:rsidP="00203685">
      <w:pPr>
        <w:adjustRightInd w:val="0"/>
        <w:snapToGrid w:val="0"/>
        <w:spacing w:line="600" w:lineRule="exact"/>
        <w:ind w:firstLineChars="200" w:firstLine="640"/>
        <w:rPr>
          <w:rFonts w:eastAsia="仿宋_GB2312"/>
          <w:sz w:val="32"/>
          <w:szCs w:val="32"/>
        </w:rPr>
      </w:pPr>
      <w:r w:rsidRPr="0018454A">
        <w:rPr>
          <w:rFonts w:eastAsia="仿宋_GB2312"/>
          <w:sz w:val="32"/>
          <w:szCs w:val="32"/>
        </w:rPr>
        <w:t>口服补液盐散</w:t>
      </w:r>
      <w:r>
        <w:rPr>
          <w:rFonts w:eastAsia="仿宋_GB2312" w:hint="eastAsia"/>
          <w:sz w:val="32"/>
          <w:szCs w:val="32"/>
        </w:rPr>
        <w:t>（</w:t>
      </w:r>
      <w:r w:rsidRPr="0018454A">
        <w:rPr>
          <w:rFonts w:ascii="宋体" w:hAnsi="宋体" w:cs="宋体" w:hint="eastAsia"/>
          <w:sz w:val="32"/>
          <w:szCs w:val="32"/>
        </w:rPr>
        <w:t>Ⅰ</w:t>
      </w:r>
      <w:r>
        <w:rPr>
          <w:rFonts w:eastAsia="仿宋_GB2312" w:hint="eastAsia"/>
          <w:sz w:val="32"/>
          <w:szCs w:val="32"/>
        </w:rPr>
        <w:t>）</w:t>
      </w:r>
      <w:r w:rsidRPr="0018454A">
        <w:rPr>
          <w:rFonts w:eastAsia="仿宋_GB2312"/>
          <w:sz w:val="32"/>
          <w:szCs w:val="32"/>
        </w:rPr>
        <w:t>、口服补液盐散</w:t>
      </w:r>
      <w:r>
        <w:rPr>
          <w:rFonts w:eastAsia="仿宋_GB2312" w:hint="eastAsia"/>
          <w:sz w:val="32"/>
          <w:szCs w:val="32"/>
        </w:rPr>
        <w:t>（</w:t>
      </w:r>
      <w:r w:rsidRPr="0018454A">
        <w:rPr>
          <w:rFonts w:ascii="宋体" w:hAnsi="宋体" w:cs="宋体" w:hint="eastAsia"/>
          <w:sz w:val="32"/>
          <w:szCs w:val="32"/>
        </w:rPr>
        <w:t>Ⅱ</w:t>
      </w:r>
      <w:r>
        <w:rPr>
          <w:rFonts w:eastAsia="仿宋_GB2312" w:hint="eastAsia"/>
          <w:sz w:val="32"/>
          <w:szCs w:val="32"/>
        </w:rPr>
        <w:t>）</w:t>
      </w:r>
      <w:r w:rsidRPr="0018454A">
        <w:rPr>
          <w:rFonts w:eastAsia="仿宋_GB2312"/>
          <w:bCs/>
          <w:color w:val="000000"/>
          <w:kern w:val="0"/>
          <w:sz w:val="32"/>
          <w:szCs w:val="32"/>
        </w:rPr>
        <w:t>用于调节体内水和电解质的平衡，使用时需溶解后配成溶液服用，以溶液形式进</w:t>
      </w:r>
      <w:r w:rsidRPr="0018454A">
        <w:rPr>
          <w:rFonts w:eastAsia="仿宋_GB2312"/>
          <w:bCs/>
          <w:color w:val="000000"/>
          <w:kern w:val="0"/>
          <w:sz w:val="32"/>
          <w:szCs w:val="32"/>
        </w:rPr>
        <w:lastRenderedPageBreak/>
        <w:t>入体内</w:t>
      </w:r>
      <w:r w:rsidRPr="0018454A">
        <w:rPr>
          <w:rFonts w:eastAsia="仿宋_GB2312"/>
          <w:sz w:val="32"/>
          <w:szCs w:val="32"/>
        </w:rPr>
        <w:t>。</w:t>
      </w:r>
    </w:p>
    <w:p w:rsidR="00203685" w:rsidRPr="0018454A" w:rsidRDefault="00203685" w:rsidP="00203685">
      <w:pPr>
        <w:adjustRightInd w:val="0"/>
        <w:snapToGrid w:val="0"/>
        <w:spacing w:line="600" w:lineRule="exact"/>
        <w:ind w:firstLineChars="200" w:firstLine="640"/>
        <w:rPr>
          <w:rFonts w:eastAsia="仿宋_GB2312"/>
          <w:sz w:val="32"/>
          <w:szCs w:val="32"/>
        </w:rPr>
      </w:pPr>
      <w:r w:rsidRPr="0018454A">
        <w:rPr>
          <w:rFonts w:eastAsia="仿宋_GB2312"/>
          <w:sz w:val="32"/>
          <w:szCs w:val="32"/>
        </w:rPr>
        <w:t>2006</w:t>
      </w:r>
      <w:r w:rsidRPr="0018454A">
        <w:rPr>
          <w:rFonts w:eastAsia="仿宋_GB2312"/>
          <w:sz w:val="32"/>
          <w:szCs w:val="32"/>
        </w:rPr>
        <w:t>年世界卫生组织出台指导原则推荐使用口服补液盐散</w:t>
      </w:r>
      <w:r>
        <w:rPr>
          <w:rFonts w:eastAsia="仿宋_GB2312" w:hint="eastAsia"/>
          <w:sz w:val="32"/>
          <w:szCs w:val="32"/>
        </w:rPr>
        <w:t>（</w:t>
      </w:r>
      <w:r w:rsidRPr="0018454A">
        <w:rPr>
          <w:rFonts w:ascii="宋体" w:hAnsi="宋体" w:cs="宋体" w:hint="eastAsia"/>
          <w:sz w:val="32"/>
          <w:szCs w:val="32"/>
        </w:rPr>
        <w:t>Ⅲ</w:t>
      </w:r>
      <w:r>
        <w:rPr>
          <w:rFonts w:eastAsia="仿宋_GB2312" w:hint="eastAsia"/>
          <w:sz w:val="32"/>
          <w:szCs w:val="32"/>
        </w:rPr>
        <w:t>）</w:t>
      </w:r>
      <w:r w:rsidRPr="0018454A">
        <w:rPr>
          <w:rFonts w:eastAsia="仿宋_GB2312"/>
          <w:sz w:val="32"/>
          <w:szCs w:val="32"/>
        </w:rPr>
        <w:t>后，欧美日市场上口服补液盐散</w:t>
      </w:r>
      <w:r>
        <w:rPr>
          <w:rFonts w:eastAsia="仿宋_GB2312" w:hint="eastAsia"/>
          <w:sz w:val="32"/>
          <w:szCs w:val="32"/>
        </w:rPr>
        <w:t>（</w:t>
      </w:r>
      <w:r w:rsidRPr="0018454A">
        <w:rPr>
          <w:rFonts w:ascii="宋体" w:hAnsi="宋体" w:cs="宋体" w:hint="eastAsia"/>
          <w:sz w:val="32"/>
          <w:szCs w:val="32"/>
        </w:rPr>
        <w:t>Ⅰ</w:t>
      </w:r>
      <w:r>
        <w:rPr>
          <w:rFonts w:eastAsia="仿宋_GB2312" w:hint="eastAsia"/>
          <w:sz w:val="32"/>
          <w:szCs w:val="32"/>
        </w:rPr>
        <w:t>）</w:t>
      </w:r>
      <w:r w:rsidRPr="0018454A">
        <w:rPr>
          <w:rFonts w:eastAsia="仿宋_GB2312"/>
          <w:sz w:val="32"/>
          <w:szCs w:val="32"/>
        </w:rPr>
        <w:t>和</w:t>
      </w:r>
      <w:r>
        <w:rPr>
          <w:rFonts w:eastAsia="仿宋_GB2312" w:hint="eastAsia"/>
          <w:sz w:val="32"/>
          <w:szCs w:val="32"/>
        </w:rPr>
        <w:t>（</w:t>
      </w:r>
      <w:r w:rsidRPr="0018454A">
        <w:rPr>
          <w:rFonts w:ascii="宋体" w:hAnsi="宋体" w:cs="宋体" w:hint="eastAsia"/>
          <w:sz w:val="32"/>
          <w:szCs w:val="32"/>
        </w:rPr>
        <w:t>Ⅱ</w:t>
      </w:r>
      <w:r>
        <w:rPr>
          <w:rFonts w:eastAsia="仿宋_GB2312" w:hint="eastAsia"/>
          <w:sz w:val="32"/>
          <w:szCs w:val="32"/>
        </w:rPr>
        <w:t>）</w:t>
      </w:r>
      <w:r w:rsidRPr="0018454A">
        <w:rPr>
          <w:rFonts w:eastAsia="仿宋_GB2312"/>
          <w:sz w:val="32"/>
          <w:szCs w:val="32"/>
        </w:rPr>
        <w:t>基本上不再使用。由于口服补液盐散</w:t>
      </w:r>
      <w:r>
        <w:rPr>
          <w:rFonts w:eastAsia="仿宋_GB2312" w:hint="eastAsia"/>
          <w:sz w:val="32"/>
          <w:szCs w:val="32"/>
        </w:rPr>
        <w:t>（</w:t>
      </w:r>
      <w:r w:rsidRPr="0018454A">
        <w:rPr>
          <w:rFonts w:ascii="宋体" w:hAnsi="宋体" w:cs="宋体" w:hint="eastAsia"/>
          <w:sz w:val="32"/>
          <w:szCs w:val="32"/>
        </w:rPr>
        <w:t>Ⅰ</w:t>
      </w:r>
      <w:r>
        <w:rPr>
          <w:rFonts w:eastAsia="仿宋_GB2312" w:hint="eastAsia"/>
          <w:sz w:val="32"/>
          <w:szCs w:val="32"/>
        </w:rPr>
        <w:t>）</w:t>
      </w:r>
      <w:r w:rsidRPr="0018454A">
        <w:rPr>
          <w:rFonts w:eastAsia="仿宋_GB2312"/>
          <w:sz w:val="32"/>
          <w:szCs w:val="32"/>
        </w:rPr>
        <w:t>的处方不合理，建议仅保留处方相对合理的口服补液盐散</w:t>
      </w:r>
      <w:r>
        <w:rPr>
          <w:rFonts w:eastAsia="仿宋_GB2312" w:hint="eastAsia"/>
          <w:sz w:val="32"/>
          <w:szCs w:val="32"/>
        </w:rPr>
        <w:t>（</w:t>
      </w:r>
      <w:r w:rsidRPr="0018454A">
        <w:rPr>
          <w:rFonts w:ascii="宋体" w:hAnsi="宋体" w:cs="宋体" w:hint="eastAsia"/>
          <w:sz w:val="32"/>
          <w:szCs w:val="32"/>
        </w:rPr>
        <w:t>Ⅱ</w:t>
      </w:r>
      <w:r>
        <w:rPr>
          <w:rFonts w:eastAsia="仿宋_GB2312" w:hint="eastAsia"/>
          <w:sz w:val="32"/>
          <w:szCs w:val="32"/>
        </w:rPr>
        <w:t>）</w:t>
      </w:r>
      <w:r w:rsidRPr="0018454A">
        <w:rPr>
          <w:rFonts w:eastAsia="仿宋_GB2312"/>
          <w:sz w:val="32"/>
          <w:szCs w:val="32"/>
        </w:rPr>
        <w:t>。对于其一致性评价应重点关注以下几方面：</w:t>
      </w:r>
      <w:r>
        <w:rPr>
          <w:rFonts w:eastAsia="仿宋_GB2312" w:hint="eastAsia"/>
          <w:sz w:val="32"/>
          <w:szCs w:val="32"/>
        </w:rPr>
        <w:t>（</w:t>
      </w:r>
      <w:r w:rsidRPr="0018454A">
        <w:rPr>
          <w:rFonts w:eastAsia="仿宋_GB2312"/>
          <w:sz w:val="32"/>
          <w:szCs w:val="32"/>
        </w:rPr>
        <w:t>1</w:t>
      </w:r>
      <w:r>
        <w:rPr>
          <w:rFonts w:eastAsia="仿宋_GB2312" w:hint="eastAsia"/>
          <w:sz w:val="32"/>
          <w:szCs w:val="32"/>
        </w:rPr>
        <w:t>）</w:t>
      </w:r>
      <w:r w:rsidRPr="0018454A">
        <w:rPr>
          <w:rFonts w:eastAsia="仿宋_GB2312"/>
          <w:sz w:val="32"/>
          <w:szCs w:val="32"/>
        </w:rPr>
        <w:t>使用说明书的修订，如调节溶解水量，使其渗透压和葡萄糖含量在合理范围内；</w:t>
      </w:r>
      <w:r>
        <w:rPr>
          <w:rFonts w:eastAsia="仿宋_GB2312" w:hint="eastAsia"/>
          <w:sz w:val="32"/>
          <w:szCs w:val="32"/>
        </w:rPr>
        <w:t>（</w:t>
      </w:r>
      <w:r w:rsidRPr="0018454A">
        <w:rPr>
          <w:rFonts w:eastAsia="仿宋_GB2312"/>
          <w:sz w:val="32"/>
          <w:szCs w:val="32"/>
        </w:rPr>
        <w:t>2</w:t>
      </w:r>
      <w:r>
        <w:rPr>
          <w:rFonts w:eastAsia="仿宋_GB2312" w:hint="eastAsia"/>
          <w:sz w:val="32"/>
          <w:szCs w:val="32"/>
        </w:rPr>
        <w:t>）</w:t>
      </w:r>
      <w:r w:rsidRPr="0018454A">
        <w:rPr>
          <w:rFonts w:eastAsia="仿宋_GB2312"/>
          <w:sz w:val="32"/>
          <w:szCs w:val="32"/>
        </w:rPr>
        <w:t>提高其质量标准，应重点关注复溶后的酸碱度、各组分的含量测定等方面，同时应采用离子色谱法考察处方中各种无机盐组分可能带入的其他杂质离子，必要时增加对杂质离子的控制。</w:t>
      </w:r>
    </w:p>
    <w:p w:rsidR="00203685" w:rsidRPr="0018454A" w:rsidRDefault="00203685" w:rsidP="00203685">
      <w:pPr>
        <w:adjustRightInd w:val="0"/>
        <w:snapToGrid w:val="0"/>
        <w:spacing w:line="600" w:lineRule="exact"/>
        <w:ind w:firstLineChars="200" w:firstLine="640"/>
        <w:rPr>
          <w:rFonts w:ascii="黑体" w:eastAsia="黑体" w:hAnsi="黑体"/>
          <w:sz w:val="32"/>
          <w:szCs w:val="32"/>
        </w:rPr>
      </w:pPr>
      <w:r w:rsidRPr="0018454A">
        <w:rPr>
          <w:rFonts w:ascii="黑体" w:eastAsia="黑体" w:hAnsi="黑体"/>
          <w:sz w:val="32"/>
          <w:szCs w:val="32"/>
        </w:rPr>
        <w:t>二、特殊药品生物等效性试验申请有关事宜</w:t>
      </w:r>
    </w:p>
    <w:p w:rsidR="00203685" w:rsidRPr="0018454A" w:rsidRDefault="00203685" w:rsidP="00203685">
      <w:pPr>
        <w:adjustRightInd w:val="0"/>
        <w:snapToGrid w:val="0"/>
        <w:spacing w:line="600" w:lineRule="exact"/>
        <w:ind w:firstLineChars="200" w:firstLine="640"/>
        <w:rPr>
          <w:rFonts w:eastAsia="仿宋_GB2312"/>
          <w:sz w:val="32"/>
          <w:szCs w:val="32"/>
        </w:rPr>
      </w:pPr>
      <w:r w:rsidRPr="0018454A">
        <w:rPr>
          <w:rFonts w:eastAsia="仿宋_GB2312"/>
          <w:sz w:val="32"/>
          <w:szCs w:val="32"/>
        </w:rPr>
        <w:t>已上市的放射性药品、麻醉药品、第一类精神药品、第二类精神药品、药品类易制毒化学品和细胞毒类药品开展生物等效性试验时，若不变更处方工艺，申请人需登录国家食品药品监督管理总局药品审评中心网站仿制药一致性评价试验备案平台，按要求填写备案信息，提交备案资料，获取备案号；若需变更处方工艺，申请人需按照《药品注册管理办法》的有关规定申报补充申请，符合要求的，国家食品药品监督管理总局药品审评中心核发药物临床试验批件。</w:t>
      </w:r>
    </w:p>
    <w:p w:rsidR="00203685" w:rsidRPr="0018454A" w:rsidRDefault="00203685" w:rsidP="00203685">
      <w:pPr>
        <w:adjustRightInd w:val="0"/>
        <w:snapToGrid w:val="0"/>
        <w:spacing w:line="600" w:lineRule="exact"/>
        <w:ind w:firstLineChars="200" w:firstLine="640"/>
        <w:rPr>
          <w:rFonts w:eastAsia="仿宋_GB2312"/>
          <w:sz w:val="32"/>
          <w:szCs w:val="32"/>
        </w:rPr>
      </w:pPr>
      <w:r w:rsidRPr="0018454A">
        <w:rPr>
          <w:rFonts w:eastAsia="仿宋_GB2312"/>
          <w:sz w:val="32"/>
          <w:szCs w:val="32"/>
        </w:rPr>
        <w:t>上述药品的生物等效性试验应符合《药物临床试验的一般考虑指导原则》《麻醉药品和精神药品管理条例》等有关法规和技</w:t>
      </w:r>
      <w:r w:rsidRPr="0018454A">
        <w:rPr>
          <w:rFonts w:eastAsia="仿宋_GB2312"/>
          <w:sz w:val="32"/>
          <w:szCs w:val="32"/>
        </w:rPr>
        <w:lastRenderedPageBreak/>
        <w:t>术指导原则要求。</w:t>
      </w:r>
    </w:p>
    <w:p w:rsidR="00203685" w:rsidRPr="0018454A" w:rsidRDefault="00203685" w:rsidP="00203685">
      <w:pPr>
        <w:adjustRightInd w:val="0"/>
        <w:snapToGrid w:val="0"/>
        <w:spacing w:line="600" w:lineRule="exact"/>
        <w:ind w:firstLineChars="200" w:firstLine="640"/>
        <w:rPr>
          <w:rFonts w:eastAsia="仿宋_GB2312"/>
          <w:sz w:val="32"/>
          <w:szCs w:val="32"/>
        </w:rPr>
      </w:pPr>
      <w:r w:rsidRPr="0018454A">
        <w:rPr>
          <w:rFonts w:eastAsia="仿宋_GB2312"/>
          <w:sz w:val="32"/>
          <w:szCs w:val="32"/>
        </w:rPr>
        <w:t>麻醉药品、第一类精神药品、第二类精神药品需要进口参比制剂的，应在获得一次性进口批件后，申请进口准许证。</w:t>
      </w:r>
    </w:p>
    <w:p w:rsidR="008D7849" w:rsidRPr="00203685" w:rsidRDefault="008D7849">
      <w:bookmarkStart w:id="0" w:name="_GoBack"/>
      <w:bookmarkEnd w:id="0"/>
    </w:p>
    <w:sectPr w:rsidR="008D7849" w:rsidRPr="00203685" w:rsidSect="0018454A">
      <w:footerReference w:type="even" r:id="rId6"/>
      <w:footerReference w:type="default" r:id="rId7"/>
      <w:pgSz w:w="11906" w:h="16838"/>
      <w:pgMar w:top="1928" w:right="1531" w:bottom="1814" w:left="1531" w:header="851" w:footer="1247"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47D" w:rsidRDefault="00EC547D" w:rsidP="00203685">
      <w:r>
        <w:separator/>
      </w:r>
    </w:p>
  </w:endnote>
  <w:endnote w:type="continuationSeparator" w:id="1">
    <w:p w:rsidR="00EC547D" w:rsidRDefault="00EC547D" w:rsidP="002036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6B4" w:rsidRPr="0018454A" w:rsidRDefault="00182CBC">
    <w:pPr>
      <w:pStyle w:val="a4"/>
      <w:rPr>
        <w:sz w:val="28"/>
        <w:szCs w:val="28"/>
      </w:rPr>
    </w:pPr>
    <w:r w:rsidRPr="0018454A">
      <w:rPr>
        <w:rFonts w:hint="eastAsia"/>
        <w:color w:val="FFFFFF"/>
        <w:sz w:val="28"/>
        <w:szCs w:val="28"/>
      </w:rPr>
      <w:t>—</w:t>
    </w:r>
    <w:r>
      <w:rPr>
        <w:rFonts w:hint="eastAsia"/>
        <w:sz w:val="28"/>
        <w:szCs w:val="28"/>
      </w:rPr>
      <w:t>—</w:t>
    </w:r>
    <w:r w:rsidR="00A375DA" w:rsidRPr="0018454A">
      <w:rPr>
        <w:sz w:val="28"/>
        <w:szCs w:val="28"/>
      </w:rPr>
      <w:fldChar w:fldCharType="begin"/>
    </w:r>
    <w:r w:rsidRPr="0018454A">
      <w:rPr>
        <w:sz w:val="28"/>
        <w:szCs w:val="28"/>
      </w:rPr>
      <w:instrText>PAGE   \* MERGEFORMAT</w:instrText>
    </w:r>
    <w:r w:rsidR="00A375DA" w:rsidRPr="0018454A">
      <w:rPr>
        <w:sz w:val="28"/>
        <w:szCs w:val="28"/>
      </w:rPr>
      <w:fldChar w:fldCharType="separate"/>
    </w:r>
    <w:r w:rsidRPr="008366BB">
      <w:rPr>
        <w:noProof/>
        <w:sz w:val="28"/>
        <w:szCs w:val="28"/>
        <w:lang w:val="zh-CN"/>
      </w:rPr>
      <w:t>6</w:t>
    </w:r>
    <w:r w:rsidR="00A375DA" w:rsidRPr="0018454A">
      <w:rPr>
        <w:sz w:val="28"/>
        <w:szCs w:val="28"/>
      </w:rPr>
      <w:fldChar w:fldCharType="end"/>
    </w:r>
    <w:r>
      <w:rPr>
        <w:rFonts w:hint="eastAsia"/>
        <w:sz w:val="28"/>
        <w:szCs w:val="28"/>
      </w:rPr>
      <w:t>—</w:t>
    </w:r>
  </w:p>
  <w:p w:rsidR="00054F05" w:rsidRDefault="00EC547D" w:rsidP="00BC1D01">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6B4" w:rsidRPr="0018454A" w:rsidRDefault="00182CBC" w:rsidP="0018454A">
    <w:pPr>
      <w:pStyle w:val="a4"/>
      <w:wordWrap w:val="0"/>
      <w:jc w:val="right"/>
      <w:rPr>
        <w:sz w:val="28"/>
        <w:szCs w:val="28"/>
      </w:rPr>
    </w:pPr>
    <w:r>
      <w:rPr>
        <w:rFonts w:hint="eastAsia"/>
        <w:sz w:val="28"/>
        <w:szCs w:val="28"/>
      </w:rPr>
      <w:t>—</w:t>
    </w:r>
    <w:r w:rsidR="00A375DA" w:rsidRPr="0018454A">
      <w:rPr>
        <w:sz w:val="28"/>
        <w:szCs w:val="28"/>
      </w:rPr>
      <w:fldChar w:fldCharType="begin"/>
    </w:r>
    <w:r w:rsidRPr="0018454A">
      <w:rPr>
        <w:sz w:val="28"/>
        <w:szCs w:val="28"/>
      </w:rPr>
      <w:instrText>PAGE   \* MERGEFORMAT</w:instrText>
    </w:r>
    <w:r w:rsidR="00A375DA" w:rsidRPr="0018454A">
      <w:rPr>
        <w:sz w:val="28"/>
        <w:szCs w:val="28"/>
      </w:rPr>
      <w:fldChar w:fldCharType="separate"/>
    </w:r>
    <w:r w:rsidR="0091642B" w:rsidRPr="0091642B">
      <w:rPr>
        <w:noProof/>
        <w:sz w:val="28"/>
        <w:szCs w:val="28"/>
        <w:lang w:val="zh-CN"/>
      </w:rPr>
      <w:t>5</w:t>
    </w:r>
    <w:r w:rsidR="00A375DA" w:rsidRPr="0018454A">
      <w:rPr>
        <w:sz w:val="28"/>
        <w:szCs w:val="28"/>
      </w:rPr>
      <w:fldChar w:fldCharType="end"/>
    </w:r>
    <w:r>
      <w:rPr>
        <w:rFonts w:hint="eastAsia"/>
        <w:sz w:val="28"/>
        <w:szCs w:val="28"/>
      </w:rPr>
      <w:t>—</w:t>
    </w:r>
    <w:r w:rsidRPr="0018454A">
      <w:rPr>
        <w:rFonts w:hint="eastAsia"/>
        <w:color w:val="FFFFFF"/>
        <w:sz w:val="28"/>
        <w:szCs w:val="28"/>
      </w:rPr>
      <w:t>—</w:t>
    </w:r>
  </w:p>
  <w:p w:rsidR="00054F05" w:rsidRDefault="00EC547D" w:rsidP="00BC1D01">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47D" w:rsidRDefault="00EC547D" w:rsidP="00203685">
      <w:r>
        <w:separator/>
      </w:r>
    </w:p>
  </w:footnote>
  <w:footnote w:type="continuationSeparator" w:id="1">
    <w:p w:rsidR="00EC547D" w:rsidRDefault="00EC547D" w:rsidP="002036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2E57"/>
    <w:rsid w:val="0008563A"/>
    <w:rsid w:val="00182CBC"/>
    <w:rsid w:val="00203685"/>
    <w:rsid w:val="0052425F"/>
    <w:rsid w:val="00632E57"/>
    <w:rsid w:val="008B6685"/>
    <w:rsid w:val="008D7849"/>
    <w:rsid w:val="0091642B"/>
    <w:rsid w:val="00A375DA"/>
    <w:rsid w:val="00C30EAB"/>
    <w:rsid w:val="00CA6FDB"/>
    <w:rsid w:val="00EC54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68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368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03685"/>
    <w:rPr>
      <w:sz w:val="18"/>
      <w:szCs w:val="18"/>
    </w:rPr>
  </w:style>
  <w:style w:type="paragraph" w:styleId="a4">
    <w:name w:val="footer"/>
    <w:basedOn w:val="a"/>
    <w:link w:val="Char0"/>
    <w:uiPriority w:val="99"/>
    <w:unhideWhenUsed/>
    <w:rsid w:val="0020368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03685"/>
    <w:rPr>
      <w:sz w:val="18"/>
      <w:szCs w:val="18"/>
    </w:rPr>
  </w:style>
  <w:style w:type="paragraph" w:customStyle="1" w:styleId="p0">
    <w:name w:val="p0"/>
    <w:basedOn w:val="a"/>
    <w:rsid w:val="00203685"/>
    <w:pPr>
      <w:widowControl/>
    </w:pPr>
    <w:rPr>
      <w:rFonts w:ascii="Calibri" w:hAnsi="Calibri" w:cs="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68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368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03685"/>
    <w:rPr>
      <w:sz w:val="18"/>
      <w:szCs w:val="18"/>
    </w:rPr>
  </w:style>
  <w:style w:type="paragraph" w:styleId="a4">
    <w:name w:val="footer"/>
    <w:basedOn w:val="a"/>
    <w:link w:val="Char0"/>
    <w:uiPriority w:val="99"/>
    <w:unhideWhenUsed/>
    <w:rsid w:val="0020368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03685"/>
    <w:rPr>
      <w:sz w:val="18"/>
      <w:szCs w:val="18"/>
    </w:rPr>
  </w:style>
  <w:style w:type="paragraph" w:customStyle="1" w:styleId="p0">
    <w:name w:val="p0"/>
    <w:basedOn w:val="a"/>
    <w:rsid w:val="00203685"/>
    <w:pPr>
      <w:widowControl/>
    </w:pPr>
    <w:rPr>
      <w:rFonts w:ascii="Calibri" w:hAnsi="Calibri" w:cs="宋体"/>
      <w:kern w:val="0"/>
      <w:szCs w:val="2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314</Words>
  <Characters>1794</Characters>
  <Application>Microsoft Office Word</Application>
  <DocSecurity>0</DocSecurity>
  <Lines>14</Lines>
  <Paragraphs>4</Paragraphs>
  <ScaleCrop>false</ScaleCrop>
  <Company>CFDA</Company>
  <LinksUpToDate>false</LinksUpToDate>
  <CharactersWithSpaces>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耿欣</dc:creator>
  <cp:lastModifiedBy>wxl</cp:lastModifiedBy>
  <cp:revision>4</cp:revision>
  <dcterms:created xsi:type="dcterms:W3CDTF">2017-05-25T02:48:00Z</dcterms:created>
  <dcterms:modified xsi:type="dcterms:W3CDTF">2017-05-25T02:49:00Z</dcterms:modified>
</cp:coreProperties>
</file>